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0" w:line="240" w:lineRule="auto"/>
        <w:rPr>
          <w:b w:val="1"/>
        </w:rPr>
      </w:pPr>
      <w:r w:rsidDel="00000000" w:rsidR="00000000" w:rsidRPr="00000000">
        <w:rPr>
          <w:b w:val="1"/>
          <w:rtl w:val="0"/>
        </w:rPr>
        <w:t xml:space="preserve">Appendix D: Scenario source characteristics</w:t>
      </w:r>
    </w:p>
    <w:p w:rsidR="00000000" w:rsidDel="00000000" w:rsidP="00000000" w:rsidRDefault="00000000" w:rsidRPr="00000000" w14:paraId="00000002">
      <w:pPr>
        <w:spacing w:after="0" w:before="0" w:line="240" w:lineRule="auto"/>
        <w:rPr/>
      </w:pPr>
      <w:r w:rsidDel="00000000" w:rsidR="00000000" w:rsidRPr="00000000">
        <w:rPr>
          <w:rtl w:val="0"/>
        </w:rPr>
      </w:r>
    </w:p>
    <w:p w:rsidR="00000000" w:rsidDel="00000000" w:rsidP="00000000" w:rsidRDefault="00000000" w:rsidRPr="00000000" w14:paraId="00000003">
      <w:pPr>
        <w:spacing w:after="0" w:before="0" w:line="240" w:lineRule="auto"/>
        <w:jc w:val="center"/>
        <w:rPr>
          <w:b w:val="1"/>
        </w:rPr>
      </w:pPr>
      <w:r w:rsidDel="00000000" w:rsidR="00000000" w:rsidRPr="00000000">
        <w:rPr>
          <w:b w:val="1"/>
          <w:rtl w:val="0"/>
        </w:rPr>
        <w:t xml:space="preserve">Survey sources for scenario</w:t>
      </w:r>
    </w:p>
    <w:p w:rsidR="00000000" w:rsidDel="00000000" w:rsidP="00000000" w:rsidRDefault="00000000" w:rsidRPr="00000000" w14:paraId="00000004">
      <w:pPr>
        <w:spacing w:after="0" w:before="0" w:line="240" w:lineRule="auto"/>
        <w:rPr>
          <w:b w:val="1"/>
        </w:rPr>
      </w:pPr>
      <w:r w:rsidDel="00000000" w:rsidR="00000000" w:rsidRPr="00000000">
        <w:rPr>
          <w:b w:val="1"/>
          <w:rtl w:val="0"/>
        </w:rPr>
        <w:t xml:space="preserve">Website</w:t>
      </w:r>
    </w:p>
    <w:p w:rsidR="00000000" w:rsidDel="00000000" w:rsidP="00000000" w:rsidRDefault="00000000" w:rsidRPr="00000000" w14:paraId="00000005">
      <w:pPr>
        <w:spacing w:after="0" w:before="0" w:line="240" w:lineRule="auto"/>
        <w:ind w:left="720" w:hanging="720"/>
        <w:rPr>
          <w:b w:val="1"/>
        </w:rPr>
      </w:pPr>
      <w:r w:rsidDel="00000000" w:rsidR="00000000" w:rsidRPr="00000000">
        <w:rPr>
          <w:rtl w:val="0"/>
        </w:rPr>
        <w:t xml:space="preserve">Swanson, W. S. (2020). Colds and flu: prevention and treatment tips. Knowyourotcs.org.</w:t>
      </w:r>
      <w:hyperlink r:id="rId6">
        <w:r w:rsidDel="00000000" w:rsidR="00000000" w:rsidRPr="00000000">
          <w:rPr>
            <w:rtl w:val="0"/>
          </w:rPr>
          <w:t xml:space="preserve"> </w:t>
        </w:r>
      </w:hyperlink>
      <w:hyperlink r:id="rId7">
        <w:r w:rsidDel="00000000" w:rsidR="00000000" w:rsidRPr="00000000">
          <w:rPr>
            <w:color w:val="007ac0"/>
            <w:u w:val="single"/>
            <w:rtl w:val="0"/>
          </w:rPr>
          <w:t xml:space="preserve">https://www.knowyourotcs.org/tips-for-cold-and-flu/</w:t>
        </w:r>
      </w:hyperlink>
      <w:r w:rsidDel="00000000" w:rsidR="00000000" w:rsidRPr="00000000">
        <w:rPr>
          <w:rtl w:val="0"/>
        </w:rPr>
      </w:r>
    </w:p>
    <w:p w:rsidR="00000000" w:rsidDel="00000000" w:rsidP="00000000" w:rsidRDefault="00000000" w:rsidRPr="00000000" w14:paraId="00000006">
      <w:pPr>
        <w:spacing w:after="0" w:before="0" w:line="240" w:lineRule="auto"/>
        <w:rPr>
          <w:b w:val="1"/>
        </w:rPr>
      </w:pPr>
      <w:r w:rsidDel="00000000" w:rsidR="00000000" w:rsidRPr="00000000">
        <w:rPr>
          <w:rtl w:val="0"/>
        </w:rPr>
      </w:r>
    </w:p>
    <w:p w:rsidR="00000000" w:rsidDel="00000000" w:rsidP="00000000" w:rsidRDefault="00000000" w:rsidRPr="00000000" w14:paraId="00000007">
      <w:pPr>
        <w:spacing w:after="0" w:before="0" w:line="240" w:lineRule="auto"/>
        <w:rPr>
          <w:i w:val="1"/>
        </w:rPr>
      </w:pPr>
      <w:r w:rsidDel="00000000" w:rsidR="00000000" w:rsidRPr="00000000">
        <w:rPr>
          <w:i w:val="1"/>
          <w:rtl w:val="0"/>
        </w:rPr>
        <w:t xml:space="preserve">Excerpt</w:t>
      </w:r>
    </w:p>
    <w:p w:rsidR="00000000" w:rsidDel="00000000" w:rsidP="00000000" w:rsidRDefault="00000000" w:rsidRPr="00000000" w14:paraId="00000008">
      <w:pPr>
        <w:spacing w:after="0" w:before="0" w:line="240" w:lineRule="auto"/>
        <w:rPr/>
      </w:pPr>
      <w:r w:rsidDel="00000000" w:rsidR="00000000" w:rsidRPr="00000000">
        <w:rPr>
          <w:b w:val="1"/>
          <w:rtl w:val="0"/>
        </w:rPr>
        <w:t xml:space="preserve">I </w:t>
      </w:r>
      <w:r w:rsidDel="00000000" w:rsidR="00000000" w:rsidRPr="00000000">
        <w:rPr>
          <w:rtl w:val="0"/>
        </w:rPr>
        <w:t xml:space="preserve">always like to start by saying, the flu shot is your best shot at preventing an influenza infection. While it’s best to get immunized early in the flu season, we often continue to recommend getting the flu vaccine well into May. Call you doctor’s office, go to your local pharmacy, or use the CDC’s Vaccine Finder to locate the vaccine available in your zip code. Remember, if you have a baby, they will need two doses (separated by 28 days or more), and if your child is under the age of nine and they have never had the flu vaccine before, they’ll need two doses this year, too!"</w:t>
      </w:r>
    </w:p>
    <w:p w:rsidR="00000000" w:rsidDel="00000000" w:rsidP="00000000" w:rsidRDefault="00000000" w:rsidRPr="00000000" w14:paraId="00000009">
      <w:pPr>
        <w:spacing w:after="0" w:before="0" w:line="240" w:lineRule="auto"/>
        <w:rPr/>
      </w:pPr>
      <w:r w:rsidDel="00000000" w:rsidR="00000000" w:rsidRPr="00000000">
        <w:rPr>
          <w:rtl w:val="0"/>
        </w:rPr>
      </w:r>
    </w:p>
    <w:p w:rsidR="00000000" w:rsidDel="00000000" w:rsidP="00000000" w:rsidRDefault="00000000" w:rsidRPr="00000000" w14:paraId="0000000A">
      <w:pPr>
        <w:spacing w:line="240" w:lineRule="auto"/>
        <w:jc w:val="center"/>
        <w:rPr>
          <w:b w:val="1"/>
        </w:rPr>
      </w:pPr>
      <w:r w:rsidDel="00000000" w:rsidR="00000000" w:rsidRPr="00000000">
        <w:rPr>
          <w:b w:val="1"/>
        </w:rPr>
        <w:drawing>
          <wp:inline distB="114300" distT="114300" distL="114300" distR="114300">
            <wp:extent cx="3614738" cy="3614738"/>
            <wp:effectExtent b="0" l="0" r="0" t="0"/>
            <wp:docPr id="2"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3614738" cy="3614738"/>
                    </a:xfrm>
                    <a:prstGeom prst="rect"/>
                    <a:ln/>
                  </pic:spPr>
                </pic:pic>
              </a:graphicData>
            </a:graphic>
          </wp:inline>
        </w:drawing>
      </w:r>
      <w:r w:rsidDel="00000000" w:rsidR="00000000" w:rsidRPr="00000000">
        <w:rPr>
          <w:rtl w:val="0"/>
        </w:rPr>
      </w:r>
    </w:p>
    <w:p w:rsidR="00000000" w:rsidDel="00000000" w:rsidP="00000000" w:rsidRDefault="00000000" w:rsidRPr="00000000" w14:paraId="0000000B">
      <w:pPr>
        <w:spacing w:line="240" w:lineRule="auto"/>
        <w:rPr/>
      </w:pPr>
      <w:r w:rsidDel="00000000" w:rsidR="00000000" w:rsidRPr="00000000">
        <w:rPr>
          <w:i w:val="1"/>
          <w:rtl w:val="0"/>
        </w:rPr>
        <w:t xml:space="preserve">Screenshot from website as it appeared at the time of the survey. Participants only saw this if they clicked the link. </w:t>
      </w:r>
      <w:r w:rsidDel="00000000" w:rsidR="00000000" w:rsidRPr="00000000">
        <w:rPr>
          <w:rtl w:val="0"/>
        </w:rPr>
      </w:r>
    </w:p>
    <w:p w:rsidR="00000000" w:rsidDel="00000000" w:rsidP="00000000" w:rsidRDefault="00000000" w:rsidRPr="00000000" w14:paraId="0000000C">
      <w:pPr>
        <w:spacing w:after="0" w:before="0" w:line="240" w:lineRule="auto"/>
        <w:rPr>
          <w:b w:val="1"/>
        </w:rPr>
      </w:pPr>
      <w:r w:rsidDel="00000000" w:rsidR="00000000" w:rsidRPr="00000000">
        <w:rPr>
          <w:rtl w:val="0"/>
        </w:rPr>
      </w:r>
    </w:p>
    <w:p w:rsidR="00000000" w:rsidDel="00000000" w:rsidP="00000000" w:rsidRDefault="00000000" w:rsidRPr="00000000" w14:paraId="0000000D">
      <w:pPr>
        <w:spacing w:line="240" w:lineRule="auto"/>
        <w:rPr>
          <w:i w:val="1"/>
        </w:rPr>
        <w:sectPr>
          <w:pgSz w:h="15840" w:w="12240"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00E">
      <w:pPr>
        <w:spacing w:line="240" w:lineRule="auto"/>
        <w:rPr>
          <w:i w:val="1"/>
        </w:rPr>
      </w:pPr>
      <w:r w:rsidDel="00000000" w:rsidR="00000000" w:rsidRPr="00000000">
        <w:rPr>
          <w:i w:val="1"/>
          <w:rtl w:val="0"/>
        </w:rPr>
        <w:t xml:space="preserve">Favorable indicators (librarian-determined)</w:t>
      </w:r>
    </w:p>
    <w:p w:rsidR="00000000" w:rsidDel="00000000" w:rsidP="00000000" w:rsidRDefault="00000000" w:rsidRPr="00000000" w14:paraId="0000000F">
      <w:pPr>
        <w:numPr>
          <w:ilvl w:val="0"/>
          <w:numId w:val="6"/>
        </w:numPr>
        <w:spacing w:line="240" w:lineRule="auto"/>
        <w:ind w:left="720" w:hanging="360"/>
      </w:pPr>
      <w:r w:rsidDel="00000000" w:rsidR="00000000" w:rsidRPr="00000000">
        <w:rPr>
          <w:rtl w:val="0"/>
        </w:rPr>
        <w:t xml:space="preserve">Written for lay audience</w:t>
      </w:r>
      <w:r w:rsidDel="00000000" w:rsidR="00000000" w:rsidRPr="00000000">
        <w:rPr>
          <w:rtl w:val="0"/>
        </w:rPr>
      </w:r>
    </w:p>
    <w:p w:rsidR="00000000" w:rsidDel="00000000" w:rsidP="00000000" w:rsidRDefault="00000000" w:rsidRPr="00000000" w14:paraId="00000010">
      <w:pPr>
        <w:numPr>
          <w:ilvl w:val="0"/>
          <w:numId w:val="6"/>
        </w:numPr>
        <w:spacing w:line="240" w:lineRule="auto"/>
        <w:ind w:left="720" w:hanging="360"/>
      </w:pPr>
      <w:r w:rsidDel="00000000" w:rsidR="00000000" w:rsidRPr="00000000">
        <w:rPr>
          <w:rtl w:val="0"/>
        </w:rPr>
        <w:t xml:space="preserve">Links to authoritative sources</w:t>
      </w:r>
      <w:r w:rsidDel="00000000" w:rsidR="00000000" w:rsidRPr="00000000">
        <w:rPr>
          <w:rtl w:val="0"/>
        </w:rPr>
      </w:r>
    </w:p>
    <w:p w:rsidR="00000000" w:rsidDel="00000000" w:rsidP="00000000" w:rsidRDefault="00000000" w:rsidRPr="00000000" w14:paraId="00000011">
      <w:pPr>
        <w:numPr>
          <w:ilvl w:val="0"/>
          <w:numId w:val="6"/>
        </w:numPr>
        <w:spacing w:line="240" w:lineRule="auto"/>
        <w:ind w:left="720" w:hanging="360"/>
      </w:pPr>
      <w:r w:rsidDel="00000000" w:rsidR="00000000" w:rsidRPr="00000000">
        <w:rPr>
          <w:rtl w:val="0"/>
        </w:rPr>
        <w:t xml:space="preserve">Aligns with public health guidance</w:t>
      </w:r>
      <w:r w:rsidDel="00000000" w:rsidR="00000000" w:rsidRPr="00000000">
        <w:rPr>
          <w:rtl w:val="0"/>
        </w:rPr>
      </w:r>
    </w:p>
    <w:p w:rsidR="00000000" w:rsidDel="00000000" w:rsidP="00000000" w:rsidRDefault="00000000" w:rsidRPr="00000000" w14:paraId="00000012">
      <w:pPr>
        <w:numPr>
          <w:ilvl w:val="0"/>
          <w:numId w:val="6"/>
        </w:numPr>
        <w:spacing w:line="240" w:lineRule="auto"/>
        <w:ind w:left="720" w:hanging="360"/>
      </w:pPr>
      <w:r w:rsidDel="00000000" w:rsidR="00000000" w:rsidRPr="00000000">
        <w:rPr>
          <w:rtl w:val="0"/>
        </w:rPr>
        <w:t xml:space="preserve">Common judgment of .org URLs as higher quality</w:t>
      </w:r>
    </w:p>
    <w:p w:rsidR="00000000" w:rsidDel="00000000" w:rsidP="00000000" w:rsidRDefault="00000000" w:rsidRPr="00000000" w14:paraId="00000013">
      <w:pPr>
        <w:spacing w:line="240" w:lineRule="auto"/>
        <w:rPr>
          <w:b w:val="1"/>
        </w:rPr>
      </w:pPr>
      <w:r w:rsidDel="00000000" w:rsidR="00000000" w:rsidRPr="00000000">
        <w:rPr>
          <w:rtl w:val="0"/>
        </w:rPr>
      </w:r>
    </w:p>
    <w:p w:rsidR="00000000" w:rsidDel="00000000" w:rsidP="00000000" w:rsidRDefault="00000000" w:rsidRPr="00000000" w14:paraId="00000014">
      <w:pPr>
        <w:spacing w:line="240" w:lineRule="auto"/>
        <w:rPr>
          <w:i w:val="1"/>
        </w:rPr>
      </w:pPr>
      <w:r w:rsidDel="00000000" w:rsidR="00000000" w:rsidRPr="00000000">
        <w:rPr>
          <w:i w:val="1"/>
          <w:rtl w:val="0"/>
        </w:rPr>
        <w:t xml:space="preserve">Unfavorable indicators (librarian-determined)</w:t>
      </w:r>
    </w:p>
    <w:p w:rsidR="00000000" w:rsidDel="00000000" w:rsidP="00000000" w:rsidRDefault="00000000" w:rsidRPr="00000000" w14:paraId="00000015">
      <w:pPr>
        <w:numPr>
          <w:ilvl w:val="0"/>
          <w:numId w:val="3"/>
        </w:numPr>
        <w:spacing w:line="240" w:lineRule="auto"/>
        <w:ind w:left="720" w:hanging="360"/>
      </w:pPr>
      <w:r w:rsidDel="00000000" w:rsidR="00000000" w:rsidRPr="00000000">
        <w:rPr>
          <w:rtl w:val="0"/>
        </w:rPr>
        <w:t xml:space="preserve">Unclear and possibly obscured sponsorship of information</w:t>
      </w:r>
      <w:r w:rsidDel="00000000" w:rsidR="00000000" w:rsidRPr="00000000">
        <w:rPr>
          <w:rtl w:val="0"/>
        </w:rPr>
      </w:r>
    </w:p>
    <w:p w:rsidR="00000000" w:rsidDel="00000000" w:rsidP="00000000" w:rsidRDefault="00000000" w:rsidRPr="00000000" w14:paraId="00000016">
      <w:pPr>
        <w:numPr>
          <w:ilvl w:val="0"/>
          <w:numId w:val="3"/>
        </w:numPr>
        <w:spacing w:line="240" w:lineRule="auto"/>
        <w:ind w:left="720" w:hanging="360"/>
        <w:sectPr>
          <w:type w:val="continuous"/>
          <w:pgSz w:h="15840" w:w="12240" w:orient="portrait"/>
          <w:pgMar w:bottom="1440" w:top="1440" w:left="1440" w:right="1440" w:header="720" w:footer="720"/>
          <w:cols w:equalWidth="0" w:num="2">
            <w:col w:space="720" w:w="4320"/>
            <w:col w:space="0" w:w="4320"/>
          </w:cols>
        </w:sectPr>
      </w:pPr>
      <w:r w:rsidDel="00000000" w:rsidR="00000000" w:rsidRPr="00000000">
        <w:rPr>
          <w:rtl w:val="0"/>
        </w:rPr>
        <w:t xml:space="preserve">Produced by a trade organization that participates in lobbying</w:t>
      </w:r>
    </w:p>
    <w:p w:rsidR="00000000" w:rsidDel="00000000" w:rsidP="00000000" w:rsidRDefault="00000000" w:rsidRPr="00000000" w14:paraId="00000017">
      <w:pPr>
        <w:spacing w:after="0" w:before="0" w:line="240" w:lineRule="auto"/>
        <w:rPr>
          <w:b w:val="1"/>
        </w:rPr>
      </w:pPr>
      <w:r w:rsidDel="00000000" w:rsidR="00000000" w:rsidRPr="00000000">
        <w:br w:type="page"/>
      </w:r>
      <w:r w:rsidDel="00000000" w:rsidR="00000000" w:rsidRPr="00000000">
        <w:rPr>
          <w:rtl w:val="0"/>
        </w:rPr>
      </w:r>
    </w:p>
    <w:p w:rsidR="00000000" w:rsidDel="00000000" w:rsidP="00000000" w:rsidRDefault="00000000" w:rsidRPr="00000000" w14:paraId="00000018">
      <w:pPr>
        <w:spacing w:after="0" w:before="0" w:line="240" w:lineRule="auto"/>
        <w:rPr>
          <w:b w:val="1"/>
        </w:rPr>
      </w:pPr>
      <w:r w:rsidDel="00000000" w:rsidR="00000000" w:rsidRPr="00000000">
        <w:rPr>
          <w:b w:val="1"/>
          <w:rtl w:val="0"/>
        </w:rPr>
        <w:t xml:space="preserve">Article</w:t>
      </w:r>
    </w:p>
    <w:p w:rsidR="00000000" w:rsidDel="00000000" w:rsidP="00000000" w:rsidRDefault="00000000" w:rsidRPr="00000000" w14:paraId="00000019">
      <w:pPr>
        <w:spacing w:after="0" w:before="0" w:line="240" w:lineRule="auto"/>
        <w:ind w:left="720" w:hanging="720"/>
        <w:rPr/>
      </w:pPr>
      <w:r w:rsidDel="00000000" w:rsidR="00000000" w:rsidRPr="00000000">
        <w:rPr>
          <w:rtl w:val="0"/>
        </w:rPr>
        <w:t xml:space="preserve">Cagle, P. J. (2021). Shoulder injury after vaccination: A systematic review. </w:t>
      </w:r>
      <w:r w:rsidDel="00000000" w:rsidR="00000000" w:rsidRPr="00000000">
        <w:rPr>
          <w:i w:val="1"/>
          <w:rtl w:val="0"/>
        </w:rPr>
        <w:t xml:space="preserve">Revista Brasileira de Ortopedia, 56</w:t>
      </w:r>
      <w:r w:rsidDel="00000000" w:rsidR="00000000" w:rsidRPr="00000000">
        <w:rPr>
          <w:rtl w:val="0"/>
        </w:rPr>
        <w:t xml:space="preserve">(3), 299-306. </w:t>
      </w:r>
      <w:hyperlink r:id="rId9">
        <w:r w:rsidDel="00000000" w:rsidR="00000000" w:rsidRPr="00000000">
          <w:rPr>
            <w:color w:val="1155cc"/>
            <w:u w:val="single"/>
            <w:rtl w:val="0"/>
          </w:rPr>
          <w:t xml:space="preserve">https://doi.org/10.1055/s-0040-1719086</w:t>
        </w:r>
      </w:hyperlink>
      <w:r w:rsidDel="00000000" w:rsidR="00000000" w:rsidRPr="00000000">
        <w:rPr>
          <w:rtl w:val="0"/>
        </w:rPr>
      </w:r>
    </w:p>
    <w:p w:rsidR="00000000" w:rsidDel="00000000" w:rsidP="00000000" w:rsidRDefault="00000000" w:rsidRPr="00000000" w14:paraId="0000001A">
      <w:pPr>
        <w:spacing w:after="0" w:before="0" w:line="240" w:lineRule="auto"/>
        <w:ind w:left="720" w:hanging="720"/>
        <w:rPr/>
      </w:pPr>
      <w:r w:rsidDel="00000000" w:rsidR="00000000" w:rsidRPr="00000000">
        <w:rPr>
          <w:rtl w:val="0"/>
        </w:rPr>
      </w:r>
    </w:p>
    <w:p w:rsidR="00000000" w:rsidDel="00000000" w:rsidP="00000000" w:rsidRDefault="00000000" w:rsidRPr="00000000" w14:paraId="0000001B">
      <w:pPr>
        <w:spacing w:line="240" w:lineRule="auto"/>
        <w:rPr>
          <w:i w:val="1"/>
        </w:rPr>
      </w:pPr>
      <w:r w:rsidDel="00000000" w:rsidR="00000000" w:rsidRPr="00000000">
        <w:rPr>
          <w:i w:val="1"/>
          <w:rtl w:val="0"/>
        </w:rPr>
        <w:t xml:space="preserve">Excerpt</w:t>
      </w:r>
    </w:p>
    <w:p w:rsidR="00000000" w:rsidDel="00000000" w:rsidP="00000000" w:rsidRDefault="00000000" w:rsidRPr="00000000" w14:paraId="0000001C">
      <w:pPr>
        <w:spacing w:line="240" w:lineRule="auto"/>
        <w:rPr/>
      </w:pPr>
      <w:r w:rsidDel="00000000" w:rsidR="00000000" w:rsidRPr="00000000">
        <w:rPr>
          <w:rtl w:val="0"/>
        </w:rPr>
        <w:t xml:space="preserve">"Adverse reactions to vaccine injections are usually mild and incredibly rare in nature, but multiple cases of shoulder events including bursitis, generalized pain or decreased range of motion have been reported following routine vaccine administrations. These events are known as Shoulder Injury Related to Vaccine Administration or SIRVA.</w:t>
      </w:r>
    </w:p>
    <w:p w:rsidR="00000000" w:rsidDel="00000000" w:rsidP="00000000" w:rsidRDefault="00000000" w:rsidRPr="00000000" w14:paraId="0000001D">
      <w:pPr>
        <w:spacing w:line="240" w:lineRule="auto"/>
        <w:rPr/>
      </w:pPr>
      <w:r w:rsidDel="00000000" w:rsidR="00000000" w:rsidRPr="00000000">
        <w:rPr>
          <w:rtl w:val="0"/>
        </w:rPr>
      </w:r>
    </w:p>
    <w:p w:rsidR="00000000" w:rsidDel="00000000" w:rsidP="00000000" w:rsidRDefault="00000000" w:rsidRPr="00000000" w14:paraId="0000001E">
      <w:pPr>
        <w:spacing w:line="240" w:lineRule="auto"/>
        <w:rPr/>
      </w:pPr>
      <w:r w:rsidDel="00000000" w:rsidR="00000000" w:rsidRPr="00000000">
        <w:rPr>
          <w:rtl w:val="0"/>
        </w:rPr>
        <w:t xml:space="preserve">A systematic review of literature was performed to identify all published accounts of SIRVA. Twenty-seven papers reporting one or more accounts of SIRVA were identified. The most common vaccination involved was the Influenza vaccine. The most common symptoms were pain that began in 48 hours or less and loss of shoulder range of motion. The  most common treatment modalities were physical therapy, corticosteroid injections and anti-inflammatory medication; but in some patients, surgery was required. Regardless of intervention, the vast majority of outcomes demonstrated improved pain and </w:t>
      </w:r>
      <w:r w:rsidDel="00000000" w:rsidR="00000000" w:rsidRPr="00000000">
        <w:rPr>
          <w:rtl w:val="0"/>
        </w:rPr>
        <w:t xml:space="preserve">functional</w:t>
      </w:r>
      <w:r w:rsidDel="00000000" w:rsidR="00000000" w:rsidRPr="00000000">
        <w:rPr>
          <w:rtl w:val="0"/>
        </w:rPr>
        <w:t xml:space="preserve"> except in the occasions of nerve injury.</w:t>
      </w:r>
    </w:p>
    <w:p w:rsidR="00000000" w:rsidDel="00000000" w:rsidP="00000000" w:rsidRDefault="00000000" w:rsidRPr="00000000" w14:paraId="0000001F">
      <w:pPr>
        <w:spacing w:line="240" w:lineRule="auto"/>
        <w:rPr/>
      </w:pPr>
      <w:r w:rsidDel="00000000" w:rsidR="00000000" w:rsidRPr="00000000">
        <w:rPr>
          <w:rtl w:val="0"/>
        </w:rPr>
      </w:r>
    </w:p>
    <w:p w:rsidR="00000000" w:rsidDel="00000000" w:rsidP="00000000" w:rsidRDefault="00000000" w:rsidRPr="00000000" w14:paraId="00000020">
      <w:pPr>
        <w:spacing w:line="240" w:lineRule="auto"/>
        <w:rPr/>
      </w:pPr>
      <w:r w:rsidDel="00000000" w:rsidR="00000000" w:rsidRPr="00000000">
        <w:rPr>
          <w:rtl w:val="0"/>
        </w:rPr>
        <w:t xml:space="preserve">The etiology of SIRVA injuries has multiple possibilities including needle length, mechanical injury from needle overpenetration and the possibility of an immune inflammatory response from the vaccine components, but a unique definitive test or quantifiably result does not yet exist."</w:t>
      </w:r>
    </w:p>
    <w:p w:rsidR="00000000" w:rsidDel="00000000" w:rsidP="00000000" w:rsidRDefault="00000000" w:rsidRPr="00000000" w14:paraId="00000021">
      <w:pPr>
        <w:spacing w:after="0" w:before="0" w:line="240" w:lineRule="auto"/>
        <w:ind w:left="720" w:hanging="720"/>
        <w:rPr/>
      </w:pPr>
      <w:r w:rsidDel="00000000" w:rsidR="00000000" w:rsidRPr="00000000">
        <w:rPr>
          <w:rtl w:val="0"/>
        </w:rPr>
      </w:r>
    </w:p>
    <w:p w:rsidR="00000000" w:rsidDel="00000000" w:rsidP="00000000" w:rsidRDefault="00000000" w:rsidRPr="00000000" w14:paraId="00000022">
      <w:pPr>
        <w:spacing w:after="0" w:before="0" w:line="240" w:lineRule="auto"/>
        <w:jc w:val="center"/>
        <w:rPr/>
      </w:pPr>
      <w:r w:rsidDel="00000000" w:rsidR="00000000" w:rsidRPr="00000000">
        <w:rPr/>
        <w:drawing>
          <wp:inline distB="114300" distT="114300" distL="114300" distR="114300">
            <wp:extent cx="3602736" cy="2577205"/>
            <wp:effectExtent b="0" l="0" r="0" t="0"/>
            <wp:docPr id="3" name="image4.png"/>
            <a:graphic>
              <a:graphicData uri="http://schemas.openxmlformats.org/drawingml/2006/picture">
                <pic:pic>
                  <pic:nvPicPr>
                    <pic:cNvPr id="0" name="image4.png"/>
                    <pic:cNvPicPr preferRelativeResize="0"/>
                  </pic:nvPicPr>
                  <pic:blipFill>
                    <a:blip r:embed="rId10"/>
                    <a:srcRect b="0" l="0" r="0" t="0"/>
                    <a:stretch>
                      <a:fillRect/>
                    </a:stretch>
                  </pic:blipFill>
                  <pic:spPr>
                    <a:xfrm>
                      <a:off x="0" y="0"/>
                      <a:ext cx="3602736" cy="2577205"/>
                    </a:xfrm>
                    <a:prstGeom prst="rect"/>
                    <a:ln/>
                  </pic:spPr>
                </pic:pic>
              </a:graphicData>
            </a:graphic>
          </wp:inline>
        </w:drawing>
      </w:r>
      <w:r w:rsidDel="00000000" w:rsidR="00000000" w:rsidRPr="00000000">
        <w:rPr>
          <w:rtl w:val="0"/>
        </w:rPr>
      </w:r>
    </w:p>
    <w:p w:rsidR="00000000" w:rsidDel="00000000" w:rsidP="00000000" w:rsidRDefault="00000000" w:rsidRPr="00000000" w14:paraId="00000023">
      <w:pPr>
        <w:spacing w:after="0" w:before="0" w:line="240" w:lineRule="auto"/>
        <w:rPr/>
      </w:pPr>
      <w:r w:rsidDel="00000000" w:rsidR="00000000" w:rsidRPr="00000000">
        <w:rPr>
          <w:i w:val="1"/>
          <w:rtl w:val="0"/>
        </w:rPr>
        <w:t xml:space="preserve">Screenshot of article as it appeared at the time of the survey. Participants only saw this if they clicked the link. </w:t>
      </w:r>
      <w:r w:rsidDel="00000000" w:rsidR="00000000" w:rsidRPr="00000000">
        <w:rPr>
          <w:rtl w:val="0"/>
        </w:rPr>
      </w:r>
    </w:p>
    <w:p w:rsidR="00000000" w:rsidDel="00000000" w:rsidP="00000000" w:rsidRDefault="00000000" w:rsidRPr="00000000" w14:paraId="00000024">
      <w:pPr>
        <w:spacing w:after="0" w:before="0" w:line="240" w:lineRule="auto"/>
        <w:rPr>
          <w:i w:val="1"/>
        </w:rPr>
        <w:sectPr>
          <w:type w:val="continuous"/>
          <w:pgSz w:h="15840" w:w="12240" w:orient="portrait"/>
          <w:pgMar w:bottom="1440" w:top="1440" w:left="1440" w:right="1440" w:header="720" w:footer="720"/>
        </w:sectPr>
      </w:pPr>
      <w:r w:rsidDel="00000000" w:rsidR="00000000" w:rsidRPr="00000000">
        <w:rPr>
          <w:i w:val="1"/>
          <w:rtl w:val="0"/>
        </w:rPr>
        <w:t xml:space="preserve"> </w:t>
      </w:r>
    </w:p>
    <w:p w:rsidR="00000000" w:rsidDel="00000000" w:rsidP="00000000" w:rsidRDefault="00000000" w:rsidRPr="00000000" w14:paraId="00000025">
      <w:pPr>
        <w:spacing w:after="0" w:before="0" w:line="240" w:lineRule="auto"/>
        <w:rPr>
          <w:i w:val="1"/>
        </w:rPr>
      </w:pPr>
      <w:r w:rsidDel="00000000" w:rsidR="00000000" w:rsidRPr="00000000">
        <w:rPr>
          <w:i w:val="1"/>
          <w:rtl w:val="0"/>
        </w:rPr>
        <w:t xml:space="preserve">Favorable indicators (librarian-determined)</w:t>
      </w:r>
    </w:p>
    <w:p w:rsidR="00000000" w:rsidDel="00000000" w:rsidP="00000000" w:rsidRDefault="00000000" w:rsidRPr="00000000" w14:paraId="00000026">
      <w:pPr>
        <w:numPr>
          <w:ilvl w:val="0"/>
          <w:numId w:val="4"/>
        </w:numPr>
        <w:spacing w:after="0" w:before="0" w:line="240" w:lineRule="auto"/>
        <w:ind w:left="720" w:hanging="360"/>
        <w:rPr>
          <w:u w:val="none"/>
        </w:rPr>
      </w:pPr>
      <w:r w:rsidDel="00000000" w:rsidR="00000000" w:rsidRPr="00000000">
        <w:rPr>
          <w:rtl w:val="0"/>
        </w:rPr>
        <w:t xml:space="preserve">Systematic review</w:t>
      </w:r>
    </w:p>
    <w:p w:rsidR="00000000" w:rsidDel="00000000" w:rsidP="00000000" w:rsidRDefault="00000000" w:rsidRPr="00000000" w14:paraId="00000027">
      <w:pPr>
        <w:numPr>
          <w:ilvl w:val="0"/>
          <w:numId w:val="4"/>
        </w:numPr>
        <w:spacing w:after="0" w:before="0" w:line="240" w:lineRule="auto"/>
        <w:ind w:left="720" w:hanging="360"/>
        <w:rPr>
          <w:u w:val="none"/>
        </w:rPr>
      </w:pPr>
      <w:r w:rsidDel="00000000" w:rsidR="00000000" w:rsidRPr="00000000">
        <w:rPr>
          <w:rtl w:val="0"/>
        </w:rPr>
        <w:t xml:space="preserve">Peer-reviewed journal</w:t>
      </w:r>
    </w:p>
    <w:p w:rsidR="00000000" w:rsidDel="00000000" w:rsidP="00000000" w:rsidRDefault="00000000" w:rsidRPr="00000000" w14:paraId="00000028">
      <w:pPr>
        <w:numPr>
          <w:ilvl w:val="0"/>
          <w:numId w:val="4"/>
        </w:numPr>
        <w:spacing w:after="0" w:before="0" w:line="240" w:lineRule="auto"/>
        <w:ind w:left="720" w:hanging="360"/>
        <w:rPr>
          <w:u w:val="none"/>
        </w:rPr>
      </w:pPr>
      <w:r w:rsidDel="00000000" w:rsidR="00000000" w:rsidRPr="00000000">
        <w:rPr>
          <w:rtl w:val="0"/>
        </w:rPr>
        <w:t xml:space="preserve">Author is healthcare professional</w:t>
      </w:r>
    </w:p>
    <w:p w:rsidR="00000000" w:rsidDel="00000000" w:rsidP="00000000" w:rsidRDefault="00000000" w:rsidRPr="00000000" w14:paraId="00000029">
      <w:pPr>
        <w:spacing w:after="0" w:before="0" w:line="240" w:lineRule="auto"/>
        <w:rPr/>
      </w:pPr>
      <w:r w:rsidDel="00000000" w:rsidR="00000000" w:rsidRPr="00000000">
        <w:rPr>
          <w:rtl w:val="0"/>
        </w:rPr>
      </w:r>
    </w:p>
    <w:p w:rsidR="00000000" w:rsidDel="00000000" w:rsidP="00000000" w:rsidRDefault="00000000" w:rsidRPr="00000000" w14:paraId="0000002A">
      <w:pPr>
        <w:spacing w:after="0" w:before="0" w:line="240" w:lineRule="auto"/>
        <w:rPr/>
      </w:pPr>
      <w:r w:rsidDel="00000000" w:rsidR="00000000" w:rsidRPr="00000000">
        <w:rPr>
          <w:rtl w:val="0"/>
        </w:rPr>
      </w:r>
    </w:p>
    <w:p w:rsidR="00000000" w:rsidDel="00000000" w:rsidP="00000000" w:rsidRDefault="00000000" w:rsidRPr="00000000" w14:paraId="0000002B">
      <w:pPr>
        <w:spacing w:after="0" w:before="0" w:line="240" w:lineRule="auto"/>
        <w:rPr>
          <w:i w:val="1"/>
        </w:rPr>
      </w:pPr>
      <w:r w:rsidDel="00000000" w:rsidR="00000000" w:rsidRPr="00000000">
        <w:rPr>
          <w:rtl w:val="0"/>
        </w:rPr>
      </w:r>
    </w:p>
    <w:p w:rsidR="00000000" w:rsidDel="00000000" w:rsidP="00000000" w:rsidRDefault="00000000" w:rsidRPr="00000000" w14:paraId="0000002C">
      <w:pPr>
        <w:spacing w:after="0" w:before="0" w:line="240" w:lineRule="auto"/>
        <w:rPr>
          <w:i w:val="1"/>
        </w:rPr>
      </w:pPr>
      <w:r w:rsidDel="00000000" w:rsidR="00000000" w:rsidRPr="00000000">
        <w:rPr>
          <w:i w:val="1"/>
          <w:rtl w:val="0"/>
        </w:rPr>
        <w:t xml:space="preserve">Unfavorable indicators (librarian-determined)</w:t>
      </w:r>
    </w:p>
    <w:p w:rsidR="00000000" w:rsidDel="00000000" w:rsidP="00000000" w:rsidRDefault="00000000" w:rsidRPr="00000000" w14:paraId="0000002D">
      <w:pPr>
        <w:numPr>
          <w:ilvl w:val="0"/>
          <w:numId w:val="1"/>
        </w:numPr>
        <w:spacing w:after="0" w:before="0" w:line="240" w:lineRule="auto"/>
        <w:ind w:left="720" w:hanging="360"/>
        <w:rPr>
          <w:u w:val="none"/>
        </w:rPr>
      </w:pPr>
      <w:r w:rsidDel="00000000" w:rsidR="00000000" w:rsidRPr="00000000">
        <w:rPr>
          <w:rtl w:val="0"/>
        </w:rPr>
        <w:t xml:space="preserve">Authorship does not meet standards for methodology</w:t>
      </w:r>
    </w:p>
    <w:p w:rsidR="00000000" w:rsidDel="00000000" w:rsidP="00000000" w:rsidRDefault="00000000" w:rsidRPr="00000000" w14:paraId="0000002E">
      <w:pPr>
        <w:numPr>
          <w:ilvl w:val="0"/>
          <w:numId w:val="1"/>
        </w:numPr>
        <w:spacing w:after="0" w:before="0" w:line="240" w:lineRule="auto"/>
        <w:ind w:left="720" w:hanging="360"/>
        <w:rPr>
          <w:u w:val="none"/>
        </w:rPr>
      </w:pPr>
      <w:r w:rsidDel="00000000" w:rsidR="00000000" w:rsidRPr="00000000">
        <w:rPr>
          <w:rtl w:val="0"/>
        </w:rPr>
        <w:t xml:space="preserve">Report of methods does not meet methodological rigor</w:t>
      </w:r>
    </w:p>
    <w:p w:rsidR="00000000" w:rsidDel="00000000" w:rsidP="00000000" w:rsidRDefault="00000000" w:rsidRPr="00000000" w14:paraId="0000002F">
      <w:pPr>
        <w:numPr>
          <w:ilvl w:val="0"/>
          <w:numId w:val="1"/>
        </w:numPr>
        <w:spacing w:line="240" w:lineRule="auto"/>
        <w:ind w:left="720" w:hanging="360"/>
      </w:pPr>
      <w:r w:rsidDel="00000000" w:rsidR="00000000" w:rsidRPr="00000000">
        <w:rPr>
          <w:rtl w:val="0"/>
        </w:rPr>
        <w:t xml:space="preserve">Potential bias about international research</w:t>
      </w:r>
      <w:r w:rsidDel="00000000" w:rsidR="00000000" w:rsidRPr="00000000">
        <w:br w:type="page"/>
      </w:r>
      <w:r w:rsidDel="00000000" w:rsidR="00000000" w:rsidRPr="00000000">
        <w:rPr>
          <w:rtl w:val="0"/>
        </w:rPr>
      </w:r>
    </w:p>
    <w:p w:rsidR="00000000" w:rsidDel="00000000" w:rsidP="00000000" w:rsidRDefault="00000000" w:rsidRPr="00000000" w14:paraId="00000030">
      <w:pPr>
        <w:spacing w:after="0" w:before="0" w:line="240" w:lineRule="auto"/>
        <w:jc w:val="center"/>
        <w:rPr>
          <w:b w:val="1"/>
        </w:rPr>
        <w:sectPr>
          <w:type w:val="continuous"/>
          <w:pgSz w:h="15840" w:w="12240" w:orient="portrait"/>
          <w:pgMar w:bottom="1440" w:top="1440" w:left="1440" w:right="1440" w:header="720" w:footer="720"/>
          <w:cols w:equalWidth="0" w:num="2">
            <w:col w:space="720" w:w="4320"/>
            <w:col w:space="0" w:w="4320"/>
          </w:cols>
        </w:sectPr>
      </w:pPr>
      <w:r w:rsidDel="00000000" w:rsidR="00000000" w:rsidRPr="00000000">
        <w:rPr>
          <w:rtl w:val="0"/>
        </w:rPr>
      </w:r>
    </w:p>
    <w:p w:rsidR="00000000" w:rsidDel="00000000" w:rsidP="00000000" w:rsidRDefault="00000000" w:rsidRPr="00000000" w14:paraId="00000031">
      <w:pPr>
        <w:spacing w:after="0" w:before="0" w:line="240" w:lineRule="auto"/>
        <w:jc w:val="center"/>
        <w:rPr>
          <w:b w:val="1"/>
        </w:rPr>
      </w:pPr>
      <w:r w:rsidDel="00000000" w:rsidR="00000000" w:rsidRPr="00000000">
        <w:rPr>
          <w:b w:val="1"/>
          <w:rtl w:val="0"/>
        </w:rPr>
        <w:t xml:space="preserve">Interview sources for scenario</w:t>
      </w:r>
    </w:p>
    <w:p w:rsidR="00000000" w:rsidDel="00000000" w:rsidP="00000000" w:rsidRDefault="00000000" w:rsidRPr="00000000" w14:paraId="00000032">
      <w:pPr>
        <w:spacing w:after="0" w:before="0" w:line="240" w:lineRule="auto"/>
        <w:rPr>
          <w:b w:val="1"/>
        </w:rPr>
      </w:pPr>
      <w:r w:rsidDel="00000000" w:rsidR="00000000" w:rsidRPr="00000000">
        <w:rPr>
          <w:b w:val="1"/>
          <w:rtl w:val="0"/>
        </w:rPr>
        <w:t xml:space="preserve">Website</w:t>
      </w:r>
    </w:p>
    <w:p w:rsidR="00000000" w:rsidDel="00000000" w:rsidP="00000000" w:rsidRDefault="00000000" w:rsidRPr="00000000" w14:paraId="00000033">
      <w:pPr>
        <w:spacing w:after="0" w:before="0" w:line="240" w:lineRule="auto"/>
        <w:ind w:left="720" w:hanging="720"/>
        <w:rPr/>
      </w:pPr>
      <w:r w:rsidDel="00000000" w:rsidR="00000000" w:rsidRPr="00000000">
        <w:rPr>
          <w:rtl w:val="0"/>
        </w:rPr>
        <w:t xml:space="preserve">Well-Being Index Team (2021 Feb 24). The biggest causes of nurse burnout and what you can do. Well Being Index. </w:t>
      </w:r>
      <w:hyperlink r:id="rId11">
        <w:r w:rsidDel="00000000" w:rsidR="00000000" w:rsidRPr="00000000">
          <w:rPr>
            <w:color w:val="1155cc"/>
            <w:u w:val="single"/>
            <w:rtl w:val="0"/>
          </w:rPr>
          <w:t xml:space="preserve">https://www.mywellbeingindex.org/blog/the-biggest-causes-of-nurse-burnout-and-what-you-can-do/</w:t>
        </w:r>
      </w:hyperlink>
      <w:r w:rsidDel="00000000" w:rsidR="00000000" w:rsidRPr="00000000">
        <w:rPr>
          <w:rtl w:val="0"/>
        </w:rPr>
        <w:t xml:space="preserve"> </w:t>
      </w:r>
    </w:p>
    <w:p w:rsidR="00000000" w:rsidDel="00000000" w:rsidP="00000000" w:rsidRDefault="00000000" w:rsidRPr="00000000" w14:paraId="00000034">
      <w:pPr>
        <w:spacing w:line="240" w:lineRule="auto"/>
        <w:rPr>
          <w:i w:val="1"/>
        </w:rPr>
      </w:pPr>
      <w:r w:rsidDel="00000000" w:rsidR="00000000" w:rsidRPr="00000000">
        <w:rPr>
          <w:rtl w:val="0"/>
        </w:rPr>
      </w:r>
    </w:p>
    <w:p w:rsidR="00000000" w:rsidDel="00000000" w:rsidP="00000000" w:rsidRDefault="00000000" w:rsidRPr="00000000" w14:paraId="00000035">
      <w:pPr>
        <w:spacing w:line="240" w:lineRule="auto"/>
        <w:rPr>
          <w:i w:val="1"/>
        </w:rPr>
      </w:pPr>
      <w:r w:rsidDel="00000000" w:rsidR="00000000" w:rsidRPr="00000000">
        <w:rPr>
          <w:i w:val="1"/>
          <w:rtl w:val="0"/>
        </w:rPr>
        <w:t xml:space="preserve">Excerpt</w:t>
      </w:r>
    </w:p>
    <w:p w:rsidR="00000000" w:rsidDel="00000000" w:rsidP="00000000" w:rsidRDefault="00000000" w:rsidRPr="00000000" w14:paraId="00000036">
      <w:pPr>
        <w:spacing w:line="240" w:lineRule="auto"/>
        <w:rPr/>
      </w:pPr>
      <w:r w:rsidDel="00000000" w:rsidR="00000000" w:rsidRPr="00000000">
        <w:rPr>
          <w:rtl w:val="0"/>
        </w:rPr>
        <w:t xml:space="preserve">"The biggest union of registered nurses in the United States — National Nurses United — describes</w:t>
      </w:r>
      <w:hyperlink r:id="rId12">
        <w:r w:rsidDel="00000000" w:rsidR="00000000" w:rsidRPr="00000000">
          <w:rPr>
            <w:rtl w:val="0"/>
          </w:rPr>
          <w:t xml:space="preserve"> </w:t>
        </w:r>
      </w:hyperlink>
      <w:hyperlink r:id="rId13">
        <w:r w:rsidDel="00000000" w:rsidR="00000000" w:rsidRPr="00000000">
          <w:rPr>
            <w:color w:val="1155cc"/>
            <w:u w:val="single"/>
            <w:rtl w:val="0"/>
          </w:rPr>
          <w:t xml:space="preserve">nurse burnout</w:t>
        </w:r>
      </w:hyperlink>
      <w:r w:rsidDel="00000000" w:rsidR="00000000" w:rsidRPr="00000000">
        <w:rPr>
          <w:color w:val="1155cc"/>
          <w:u w:val="single"/>
          <w:rtl w:val="0"/>
        </w:rPr>
        <w:t xml:space="preserve"> </w:t>
      </w:r>
      <w:r w:rsidDel="00000000" w:rsidR="00000000" w:rsidRPr="00000000">
        <w:rPr>
          <w:rtl w:val="0"/>
        </w:rPr>
        <w:t xml:space="preserve">as "physical, mental and emotional exhaustion." Nurse burnout leads to job dissatisfaction and affects patient outcomes. A survey conducted in 2012 revealed that around</w:t>
      </w:r>
      <w:hyperlink r:id="rId14">
        <w:r w:rsidDel="00000000" w:rsidR="00000000" w:rsidRPr="00000000">
          <w:rPr>
            <w:rtl w:val="0"/>
          </w:rPr>
          <w:t xml:space="preserve"> </w:t>
        </w:r>
      </w:hyperlink>
      <w:hyperlink r:id="rId15">
        <w:r w:rsidDel="00000000" w:rsidR="00000000" w:rsidRPr="00000000">
          <w:rPr>
            <w:color w:val="1155cc"/>
            <w:u w:val="single"/>
            <w:rtl w:val="0"/>
          </w:rPr>
          <w:t xml:space="preserve">one-third of nurses reported</w:t>
        </w:r>
      </w:hyperlink>
      <w:r w:rsidDel="00000000" w:rsidR="00000000" w:rsidRPr="00000000">
        <w:rPr>
          <w:rtl w:val="0"/>
        </w:rPr>
        <w:t xml:space="preserve"> an emotional exhaustion score (a calculation used to measure psychological fatigue) of 27 or more, recognized by medical professionals as "high burnout." In a separate study, 49 percent of registered nurses under the age of 30 experienced significant levels of exhaustion. But why are so many nurses at breaking point? And how are health care providers dealing with this issue?."</w:t>
      </w:r>
    </w:p>
    <w:p w:rsidR="00000000" w:rsidDel="00000000" w:rsidP="00000000" w:rsidRDefault="00000000" w:rsidRPr="00000000" w14:paraId="00000037">
      <w:pPr>
        <w:spacing w:after="0" w:before="0" w:line="240" w:lineRule="auto"/>
        <w:rPr>
          <w:b w:val="1"/>
        </w:rPr>
      </w:pPr>
      <w:r w:rsidDel="00000000" w:rsidR="00000000" w:rsidRPr="00000000">
        <w:rPr>
          <w:rtl w:val="0"/>
        </w:rPr>
      </w:r>
    </w:p>
    <w:p w:rsidR="00000000" w:rsidDel="00000000" w:rsidP="00000000" w:rsidRDefault="00000000" w:rsidRPr="00000000" w14:paraId="00000038">
      <w:pPr>
        <w:spacing w:after="0" w:before="0" w:line="240" w:lineRule="auto"/>
        <w:jc w:val="center"/>
        <w:rPr>
          <w:b w:val="1"/>
        </w:rPr>
      </w:pPr>
      <w:r w:rsidDel="00000000" w:rsidR="00000000" w:rsidRPr="00000000">
        <w:rPr>
          <w:b w:val="1"/>
        </w:rPr>
        <w:drawing>
          <wp:inline distB="114300" distT="114300" distL="114300" distR="114300">
            <wp:extent cx="3630168" cy="3433943"/>
            <wp:effectExtent b="0" l="0" r="0" t="0"/>
            <wp:docPr id="1" name="image3.png"/>
            <a:graphic>
              <a:graphicData uri="http://schemas.openxmlformats.org/drawingml/2006/picture">
                <pic:pic>
                  <pic:nvPicPr>
                    <pic:cNvPr id="0" name="image3.png"/>
                    <pic:cNvPicPr preferRelativeResize="0"/>
                  </pic:nvPicPr>
                  <pic:blipFill>
                    <a:blip r:embed="rId16"/>
                    <a:srcRect b="0" l="0" r="0" t="0"/>
                    <a:stretch>
                      <a:fillRect/>
                    </a:stretch>
                  </pic:blipFill>
                  <pic:spPr>
                    <a:xfrm>
                      <a:off x="0" y="0"/>
                      <a:ext cx="3630168" cy="3433943"/>
                    </a:xfrm>
                    <a:prstGeom prst="rect"/>
                    <a:ln/>
                  </pic:spPr>
                </pic:pic>
              </a:graphicData>
            </a:graphic>
          </wp:inline>
        </w:drawing>
      </w:r>
      <w:r w:rsidDel="00000000" w:rsidR="00000000" w:rsidRPr="00000000">
        <w:rPr>
          <w:rtl w:val="0"/>
        </w:rPr>
      </w:r>
    </w:p>
    <w:p w:rsidR="00000000" w:rsidDel="00000000" w:rsidP="00000000" w:rsidRDefault="00000000" w:rsidRPr="00000000" w14:paraId="00000039">
      <w:pPr>
        <w:spacing w:after="0" w:before="0" w:line="240" w:lineRule="auto"/>
        <w:rPr>
          <w:i w:val="1"/>
        </w:rPr>
      </w:pPr>
      <w:r w:rsidDel="00000000" w:rsidR="00000000" w:rsidRPr="00000000">
        <w:rPr>
          <w:i w:val="1"/>
          <w:rtl w:val="0"/>
        </w:rPr>
        <w:t xml:space="preserve">Screenshot </w:t>
      </w:r>
      <w:r w:rsidDel="00000000" w:rsidR="00000000" w:rsidRPr="00000000">
        <w:rPr>
          <w:i w:val="1"/>
          <w:rtl w:val="0"/>
        </w:rPr>
        <w:t xml:space="preserve">of website</w:t>
      </w:r>
      <w:r w:rsidDel="00000000" w:rsidR="00000000" w:rsidRPr="00000000">
        <w:rPr>
          <w:i w:val="1"/>
          <w:rtl w:val="0"/>
        </w:rPr>
        <w:t xml:space="preserve"> as it appeared during the interviews, from the Internet Archive Wayback Machine. Participants were shown the whole website and encouraged to ask the librarian to scroll.</w:t>
      </w:r>
    </w:p>
    <w:p w:rsidR="00000000" w:rsidDel="00000000" w:rsidP="00000000" w:rsidRDefault="00000000" w:rsidRPr="00000000" w14:paraId="0000003A">
      <w:pPr>
        <w:spacing w:after="0" w:before="0" w:line="240" w:lineRule="auto"/>
        <w:rPr>
          <w:b w:val="1"/>
        </w:rPr>
      </w:pPr>
      <w:r w:rsidDel="00000000" w:rsidR="00000000" w:rsidRPr="00000000">
        <w:rPr>
          <w:rtl w:val="0"/>
        </w:rPr>
      </w:r>
    </w:p>
    <w:p w:rsidR="00000000" w:rsidDel="00000000" w:rsidP="00000000" w:rsidRDefault="00000000" w:rsidRPr="00000000" w14:paraId="0000003B">
      <w:pPr>
        <w:spacing w:after="0" w:before="0" w:line="240" w:lineRule="auto"/>
        <w:rPr>
          <w:i w:val="1"/>
        </w:rPr>
        <w:sectPr>
          <w:type w:val="continuous"/>
          <w:pgSz w:h="15840" w:w="12240" w:orient="portrait"/>
          <w:pgMar w:bottom="1440" w:top="1440" w:left="1440" w:right="1440" w:header="720" w:footer="720"/>
          <w:cols w:equalWidth="0" w:num="1">
            <w:col w:space="0" w:w="9360"/>
          </w:cols>
        </w:sectPr>
      </w:pPr>
      <w:r w:rsidDel="00000000" w:rsidR="00000000" w:rsidRPr="00000000">
        <w:rPr>
          <w:rtl w:val="0"/>
        </w:rPr>
      </w:r>
    </w:p>
    <w:p w:rsidR="00000000" w:rsidDel="00000000" w:rsidP="00000000" w:rsidRDefault="00000000" w:rsidRPr="00000000" w14:paraId="0000003C">
      <w:pPr>
        <w:spacing w:after="0" w:before="0" w:line="240" w:lineRule="auto"/>
        <w:rPr>
          <w:i w:val="1"/>
        </w:rPr>
      </w:pPr>
      <w:r w:rsidDel="00000000" w:rsidR="00000000" w:rsidRPr="00000000">
        <w:rPr>
          <w:i w:val="1"/>
          <w:rtl w:val="0"/>
        </w:rPr>
        <w:t xml:space="preserve">Favorable indicators (librarian-determined)</w:t>
      </w:r>
    </w:p>
    <w:p w:rsidR="00000000" w:rsidDel="00000000" w:rsidP="00000000" w:rsidRDefault="00000000" w:rsidRPr="00000000" w14:paraId="0000003D">
      <w:pPr>
        <w:numPr>
          <w:ilvl w:val="0"/>
          <w:numId w:val="6"/>
        </w:numPr>
        <w:spacing w:after="0" w:before="0" w:line="240" w:lineRule="auto"/>
        <w:ind w:left="720" w:hanging="360"/>
      </w:pPr>
      <w:r w:rsidDel="00000000" w:rsidR="00000000" w:rsidRPr="00000000">
        <w:rPr>
          <w:rtl w:val="0"/>
        </w:rPr>
        <w:t xml:space="preserve">Written for lay audience</w:t>
      </w:r>
      <w:r w:rsidDel="00000000" w:rsidR="00000000" w:rsidRPr="00000000">
        <w:rPr>
          <w:rtl w:val="0"/>
        </w:rPr>
      </w:r>
    </w:p>
    <w:p w:rsidR="00000000" w:rsidDel="00000000" w:rsidP="00000000" w:rsidRDefault="00000000" w:rsidRPr="00000000" w14:paraId="0000003E">
      <w:pPr>
        <w:numPr>
          <w:ilvl w:val="0"/>
          <w:numId w:val="6"/>
        </w:numPr>
        <w:spacing w:after="0" w:before="0" w:line="240" w:lineRule="auto"/>
        <w:ind w:left="720" w:hanging="360"/>
      </w:pPr>
      <w:r w:rsidDel="00000000" w:rsidR="00000000" w:rsidRPr="00000000">
        <w:rPr>
          <w:rtl w:val="0"/>
        </w:rPr>
        <w:t xml:space="preserve">Links to authoritative sources</w:t>
      </w:r>
    </w:p>
    <w:p w:rsidR="00000000" w:rsidDel="00000000" w:rsidP="00000000" w:rsidRDefault="00000000" w:rsidRPr="00000000" w14:paraId="0000003F">
      <w:pPr>
        <w:numPr>
          <w:ilvl w:val="0"/>
          <w:numId w:val="6"/>
        </w:numPr>
        <w:spacing w:after="0" w:before="0" w:line="240" w:lineRule="auto"/>
        <w:ind w:left="720" w:hanging="360"/>
      </w:pPr>
      <w:r w:rsidDel="00000000" w:rsidR="00000000" w:rsidRPr="00000000">
        <w:rPr>
          <w:rtl w:val="0"/>
        </w:rPr>
        <w:t xml:space="preserve">Common judgment of .org URLs as higher quality</w:t>
      </w:r>
      <w:r w:rsidDel="00000000" w:rsidR="00000000" w:rsidRPr="00000000">
        <w:rPr>
          <w:rtl w:val="0"/>
        </w:rPr>
      </w:r>
    </w:p>
    <w:p w:rsidR="00000000" w:rsidDel="00000000" w:rsidP="00000000" w:rsidRDefault="00000000" w:rsidRPr="00000000" w14:paraId="00000040">
      <w:pPr>
        <w:spacing w:after="0" w:before="0" w:line="240" w:lineRule="auto"/>
        <w:rPr>
          <w:i w:val="1"/>
        </w:rPr>
      </w:pPr>
      <w:r w:rsidDel="00000000" w:rsidR="00000000" w:rsidRPr="00000000">
        <w:rPr>
          <w:i w:val="1"/>
          <w:rtl w:val="0"/>
        </w:rPr>
        <w:t xml:space="preserve">Unfavorable indicators (librarian-determined)</w:t>
      </w:r>
    </w:p>
    <w:p w:rsidR="00000000" w:rsidDel="00000000" w:rsidP="00000000" w:rsidRDefault="00000000" w:rsidRPr="00000000" w14:paraId="00000041">
      <w:pPr>
        <w:numPr>
          <w:ilvl w:val="0"/>
          <w:numId w:val="5"/>
        </w:numPr>
        <w:spacing w:after="0" w:before="0" w:line="240" w:lineRule="auto"/>
        <w:ind w:left="720" w:hanging="360"/>
        <w:rPr>
          <w:u w:val="none"/>
        </w:rPr>
        <w:sectPr>
          <w:type w:val="continuous"/>
          <w:pgSz w:h="15840" w:w="12240" w:orient="portrait"/>
          <w:pgMar w:bottom="1440" w:top="1440" w:left="1440" w:right="1440" w:header="720" w:footer="720"/>
          <w:cols w:equalWidth="0" w:num="2">
            <w:col w:space="720" w:w="4320"/>
            <w:col w:space="0" w:w="4320"/>
          </w:cols>
        </w:sectPr>
      </w:pPr>
      <w:r w:rsidDel="00000000" w:rsidR="00000000" w:rsidRPr="00000000">
        <w:rPr>
          <w:rtl w:val="0"/>
        </w:rPr>
        <w:t xml:space="preserve">Produced by an organization with a likely financial interest </w:t>
      </w:r>
    </w:p>
    <w:p w:rsidR="00000000" w:rsidDel="00000000" w:rsidP="00000000" w:rsidRDefault="00000000" w:rsidRPr="00000000" w14:paraId="00000042">
      <w:pPr>
        <w:spacing w:after="0" w:before="0" w:line="240" w:lineRule="auto"/>
        <w:rPr>
          <w:b w:val="1"/>
        </w:rPr>
      </w:pPr>
      <w:r w:rsidDel="00000000" w:rsidR="00000000" w:rsidRPr="00000000">
        <w:br w:type="page"/>
      </w:r>
      <w:r w:rsidDel="00000000" w:rsidR="00000000" w:rsidRPr="00000000">
        <w:rPr>
          <w:rtl w:val="0"/>
        </w:rPr>
      </w:r>
    </w:p>
    <w:p w:rsidR="00000000" w:rsidDel="00000000" w:rsidP="00000000" w:rsidRDefault="00000000" w:rsidRPr="00000000" w14:paraId="00000043">
      <w:pPr>
        <w:spacing w:after="0" w:before="0" w:line="240" w:lineRule="auto"/>
        <w:rPr>
          <w:b w:val="1"/>
        </w:rPr>
      </w:pPr>
      <w:r w:rsidDel="00000000" w:rsidR="00000000" w:rsidRPr="00000000">
        <w:rPr>
          <w:b w:val="1"/>
          <w:rtl w:val="0"/>
        </w:rPr>
        <w:t xml:space="preserve">Article</w:t>
      </w:r>
    </w:p>
    <w:p w:rsidR="00000000" w:rsidDel="00000000" w:rsidP="00000000" w:rsidRDefault="00000000" w:rsidRPr="00000000" w14:paraId="00000044">
      <w:pPr>
        <w:spacing w:after="0" w:before="0" w:line="240" w:lineRule="auto"/>
        <w:ind w:left="630" w:hanging="630"/>
        <w:rPr/>
      </w:pPr>
      <w:r w:rsidDel="00000000" w:rsidR="00000000" w:rsidRPr="00000000">
        <w:rPr>
          <w:rtl w:val="0"/>
        </w:rPr>
        <w:t xml:space="preserve">Zhou, Q., Lai, X., Wan, Z., Zhang, X., &amp; Tan, L. (2021).  Impact of burnout, secondary traumatic stress and compassion satisfaction on hand hygiene of healthcare workers during the COVID-19 pandemic. </w:t>
      </w:r>
      <w:r w:rsidDel="00000000" w:rsidR="00000000" w:rsidRPr="00000000">
        <w:rPr>
          <w:i w:val="1"/>
          <w:rtl w:val="0"/>
        </w:rPr>
        <w:t xml:space="preserve">Nursing Open, 8</w:t>
      </w:r>
      <w:r w:rsidDel="00000000" w:rsidR="00000000" w:rsidRPr="00000000">
        <w:rPr>
          <w:rtl w:val="0"/>
        </w:rPr>
        <w:t xml:space="preserve">(5), 2551-2557 </w:t>
      </w:r>
      <w:hyperlink r:id="rId17">
        <w:r w:rsidDel="00000000" w:rsidR="00000000" w:rsidRPr="00000000">
          <w:rPr>
            <w:color w:val="1155cc"/>
            <w:u w:val="single"/>
            <w:rtl w:val="0"/>
          </w:rPr>
          <w:t xml:space="preserve">https://doi.org/10.1002/nop2.786</w:t>
        </w:r>
      </w:hyperlink>
      <w:r w:rsidDel="00000000" w:rsidR="00000000" w:rsidRPr="00000000">
        <w:rPr>
          <w:rtl w:val="0"/>
        </w:rPr>
        <w:t xml:space="preserve"> </w:t>
      </w:r>
    </w:p>
    <w:p w:rsidR="00000000" w:rsidDel="00000000" w:rsidP="00000000" w:rsidRDefault="00000000" w:rsidRPr="00000000" w14:paraId="00000045">
      <w:pPr>
        <w:spacing w:after="0" w:before="0" w:line="240" w:lineRule="auto"/>
        <w:ind w:left="630" w:hanging="630"/>
        <w:rPr/>
      </w:pPr>
      <w:r w:rsidDel="00000000" w:rsidR="00000000" w:rsidRPr="00000000">
        <w:rPr>
          <w:rtl w:val="0"/>
        </w:rPr>
      </w:r>
    </w:p>
    <w:p w:rsidR="00000000" w:rsidDel="00000000" w:rsidP="00000000" w:rsidRDefault="00000000" w:rsidRPr="00000000" w14:paraId="00000046">
      <w:pPr>
        <w:spacing w:line="240" w:lineRule="auto"/>
        <w:rPr>
          <w:i w:val="1"/>
        </w:rPr>
      </w:pPr>
      <w:r w:rsidDel="00000000" w:rsidR="00000000" w:rsidRPr="00000000">
        <w:rPr>
          <w:i w:val="1"/>
          <w:rtl w:val="0"/>
        </w:rPr>
        <w:t xml:space="preserve">Excerpt</w:t>
      </w:r>
    </w:p>
    <w:p w:rsidR="00000000" w:rsidDel="00000000" w:rsidP="00000000" w:rsidRDefault="00000000" w:rsidRPr="00000000" w14:paraId="00000047">
      <w:pPr>
        <w:spacing w:after="0" w:before="0" w:line="240" w:lineRule="auto"/>
        <w:rPr/>
      </w:pPr>
      <w:r w:rsidDel="00000000" w:rsidR="00000000" w:rsidRPr="00000000">
        <w:rPr>
          <w:rtl w:val="0"/>
        </w:rPr>
        <w:t xml:space="preserve">Aim: To assess the prevalence of burnout, secondary traumatic stress, and compassion satisfaction and explore their impacts on self-reported hand hygiene among medical aid teams in the COVID-19 period in Wuhan, China. Design: Cross-sectional study. Method: A total of 1,734 healthcare workers from 17 medical aid teams were surveyed. The survey included burnout, secondary traumatic stress and compassion satisfaction measured by the professional quality of life scale and self-reported hand hygiene. Data were collected between 5–7 March 2020. Multiple regression analyses were performed. Results: Burnout and secondary trauma stress were at low and average levels, and compassion satisfaction was at average and high levels. Burnout was negatively associated with hand hygiene, while compassion satisfaction was positively associated. Hospital administrators should pay attention to burnout and compassion satisfaction to improve infection control behaviours. Management of healthcare workers in our study may be constructive in emerging infectious diseases.</w:t>
      </w:r>
    </w:p>
    <w:p w:rsidR="00000000" w:rsidDel="00000000" w:rsidP="00000000" w:rsidRDefault="00000000" w:rsidRPr="00000000" w14:paraId="00000048">
      <w:pPr>
        <w:spacing w:after="0" w:before="0" w:line="240" w:lineRule="auto"/>
        <w:ind w:left="630" w:hanging="630"/>
        <w:rPr/>
      </w:pPr>
      <w:r w:rsidDel="00000000" w:rsidR="00000000" w:rsidRPr="00000000">
        <w:rPr>
          <w:rtl w:val="0"/>
        </w:rPr>
      </w:r>
    </w:p>
    <w:p w:rsidR="00000000" w:rsidDel="00000000" w:rsidP="00000000" w:rsidRDefault="00000000" w:rsidRPr="00000000" w14:paraId="00000049">
      <w:pPr>
        <w:spacing w:after="0" w:before="0" w:line="240" w:lineRule="auto"/>
        <w:jc w:val="center"/>
        <w:rPr>
          <w:b w:val="1"/>
        </w:rPr>
      </w:pPr>
      <w:r w:rsidDel="00000000" w:rsidR="00000000" w:rsidRPr="00000000">
        <w:rPr>
          <w:b w:val="1"/>
        </w:rPr>
        <w:drawing>
          <wp:inline distB="114300" distT="114300" distL="114300" distR="114300">
            <wp:extent cx="3464196" cy="3785616"/>
            <wp:effectExtent b="0" l="0" r="0" t="0"/>
            <wp:docPr id="4" name="image1.png"/>
            <a:graphic>
              <a:graphicData uri="http://schemas.openxmlformats.org/drawingml/2006/picture">
                <pic:pic>
                  <pic:nvPicPr>
                    <pic:cNvPr id="0" name="image1.png"/>
                    <pic:cNvPicPr preferRelativeResize="0"/>
                  </pic:nvPicPr>
                  <pic:blipFill>
                    <a:blip r:embed="rId18"/>
                    <a:srcRect b="0" l="0" r="0" t="0"/>
                    <a:stretch>
                      <a:fillRect/>
                    </a:stretch>
                  </pic:blipFill>
                  <pic:spPr>
                    <a:xfrm>
                      <a:off x="0" y="0"/>
                      <a:ext cx="3464196" cy="3785616"/>
                    </a:xfrm>
                    <a:prstGeom prst="rect"/>
                    <a:ln/>
                  </pic:spPr>
                </pic:pic>
              </a:graphicData>
            </a:graphic>
          </wp:inline>
        </w:drawing>
      </w:r>
      <w:r w:rsidDel="00000000" w:rsidR="00000000" w:rsidRPr="00000000">
        <w:rPr>
          <w:rtl w:val="0"/>
        </w:rPr>
      </w:r>
    </w:p>
    <w:p w:rsidR="00000000" w:rsidDel="00000000" w:rsidP="00000000" w:rsidRDefault="00000000" w:rsidRPr="00000000" w14:paraId="0000004A">
      <w:pPr>
        <w:spacing w:line="240" w:lineRule="auto"/>
        <w:rPr>
          <w:i w:val="1"/>
        </w:rPr>
      </w:pPr>
      <w:r w:rsidDel="00000000" w:rsidR="00000000" w:rsidRPr="00000000">
        <w:rPr>
          <w:i w:val="1"/>
          <w:rtl w:val="0"/>
        </w:rPr>
        <w:t xml:space="preserve">Screenshot of article abstract as it appeared during the interviews. Participants were shown the whole article and encouraged to ask the librarian to scroll.</w:t>
      </w:r>
    </w:p>
    <w:p w:rsidR="00000000" w:rsidDel="00000000" w:rsidP="00000000" w:rsidRDefault="00000000" w:rsidRPr="00000000" w14:paraId="0000004B">
      <w:pPr>
        <w:spacing w:after="0" w:before="0" w:line="240" w:lineRule="auto"/>
        <w:rPr>
          <w:i w:val="1"/>
        </w:rPr>
        <w:sectPr>
          <w:type w:val="continuous"/>
          <w:pgSz w:h="15840" w:w="12240" w:orient="portrait"/>
          <w:pgMar w:bottom="1440" w:top="1440" w:left="1440" w:right="1440" w:header="720" w:footer="720"/>
        </w:sectPr>
      </w:pPr>
      <w:r w:rsidDel="00000000" w:rsidR="00000000" w:rsidRPr="00000000">
        <w:rPr>
          <w:rtl w:val="0"/>
        </w:rPr>
      </w:r>
    </w:p>
    <w:p w:rsidR="00000000" w:rsidDel="00000000" w:rsidP="00000000" w:rsidRDefault="00000000" w:rsidRPr="00000000" w14:paraId="0000004C">
      <w:pPr>
        <w:spacing w:after="0" w:before="0" w:line="240" w:lineRule="auto"/>
        <w:rPr>
          <w:i w:val="1"/>
        </w:rPr>
      </w:pPr>
      <w:r w:rsidDel="00000000" w:rsidR="00000000" w:rsidRPr="00000000">
        <w:rPr>
          <w:i w:val="1"/>
          <w:rtl w:val="0"/>
        </w:rPr>
        <w:t xml:space="preserve">Favorable indicators (librarian-determined)</w:t>
      </w:r>
    </w:p>
    <w:p w:rsidR="00000000" w:rsidDel="00000000" w:rsidP="00000000" w:rsidRDefault="00000000" w:rsidRPr="00000000" w14:paraId="0000004D">
      <w:pPr>
        <w:numPr>
          <w:ilvl w:val="0"/>
          <w:numId w:val="6"/>
        </w:numPr>
        <w:spacing w:after="0" w:before="0" w:line="240" w:lineRule="auto"/>
        <w:ind w:left="720" w:hanging="360"/>
      </w:pPr>
      <w:r w:rsidDel="00000000" w:rsidR="00000000" w:rsidRPr="00000000">
        <w:rPr>
          <w:rtl w:val="0"/>
        </w:rPr>
        <w:t xml:space="preserve">Empirical study</w:t>
      </w:r>
    </w:p>
    <w:p w:rsidR="00000000" w:rsidDel="00000000" w:rsidP="00000000" w:rsidRDefault="00000000" w:rsidRPr="00000000" w14:paraId="0000004E">
      <w:pPr>
        <w:numPr>
          <w:ilvl w:val="0"/>
          <w:numId w:val="6"/>
        </w:numPr>
        <w:spacing w:after="0" w:before="0" w:line="240" w:lineRule="auto"/>
        <w:ind w:left="720" w:hanging="360"/>
      </w:pPr>
      <w:r w:rsidDel="00000000" w:rsidR="00000000" w:rsidRPr="00000000">
        <w:rPr>
          <w:rtl w:val="0"/>
        </w:rPr>
        <w:t xml:space="preserve">Peer-reviewed journal</w:t>
      </w:r>
    </w:p>
    <w:p w:rsidR="00000000" w:rsidDel="00000000" w:rsidP="00000000" w:rsidRDefault="00000000" w:rsidRPr="00000000" w14:paraId="0000004F">
      <w:pPr>
        <w:spacing w:after="0" w:before="0" w:line="240" w:lineRule="auto"/>
        <w:rPr>
          <w:i w:val="1"/>
        </w:rPr>
      </w:pPr>
      <w:r w:rsidDel="00000000" w:rsidR="00000000" w:rsidRPr="00000000">
        <w:rPr>
          <w:rtl w:val="0"/>
        </w:rPr>
      </w:r>
    </w:p>
    <w:p w:rsidR="00000000" w:rsidDel="00000000" w:rsidP="00000000" w:rsidRDefault="00000000" w:rsidRPr="00000000" w14:paraId="00000050">
      <w:pPr>
        <w:spacing w:after="0" w:before="0" w:line="240" w:lineRule="auto"/>
        <w:rPr/>
      </w:pPr>
      <w:r w:rsidDel="00000000" w:rsidR="00000000" w:rsidRPr="00000000">
        <w:rPr>
          <w:i w:val="1"/>
          <w:rtl w:val="0"/>
        </w:rPr>
        <w:t xml:space="preserve">Unfavorable indicators (librarian-determined)</w:t>
      </w:r>
      <w:r w:rsidDel="00000000" w:rsidR="00000000" w:rsidRPr="00000000">
        <w:rPr>
          <w:rtl w:val="0"/>
        </w:rPr>
      </w:r>
    </w:p>
    <w:p w:rsidR="00000000" w:rsidDel="00000000" w:rsidP="00000000" w:rsidRDefault="00000000" w:rsidRPr="00000000" w14:paraId="00000051">
      <w:pPr>
        <w:numPr>
          <w:ilvl w:val="0"/>
          <w:numId w:val="2"/>
        </w:numPr>
        <w:spacing w:after="0" w:before="0" w:line="240" w:lineRule="auto"/>
        <w:ind w:left="720" w:hanging="360"/>
      </w:pPr>
      <w:r w:rsidDel="00000000" w:rsidR="00000000" w:rsidRPr="00000000">
        <w:rPr>
          <w:rtl w:val="0"/>
        </w:rPr>
        <w:t xml:space="preserve">Small sample of dates covered</w:t>
      </w:r>
    </w:p>
    <w:p w:rsidR="00000000" w:rsidDel="00000000" w:rsidP="00000000" w:rsidRDefault="00000000" w:rsidRPr="00000000" w14:paraId="00000052">
      <w:pPr>
        <w:numPr>
          <w:ilvl w:val="0"/>
          <w:numId w:val="2"/>
        </w:numPr>
        <w:spacing w:after="0" w:before="0" w:line="240" w:lineRule="auto"/>
        <w:ind w:left="720" w:hanging="360"/>
        <w:rPr>
          <w:u w:val="none"/>
        </w:rPr>
      </w:pPr>
      <w:r w:rsidDel="00000000" w:rsidR="00000000" w:rsidRPr="00000000">
        <w:rPr>
          <w:rtl w:val="0"/>
        </w:rPr>
        <w:t xml:space="preserve">Potential bias about international research</w:t>
      </w:r>
      <w:r w:rsidDel="00000000" w:rsidR="00000000" w:rsidRPr="00000000">
        <w:rPr>
          <w:rtl w:val="0"/>
        </w:rPr>
      </w:r>
    </w:p>
    <w:sectPr>
      <w:type w:val="continuous"/>
      <w:pgSz w:h="15840" w:w="12240" w:orient="portrait"/>
      <w:pgMar w:bottom="1440" w:top="1440" w:left="1440" w:right="1440" w:header="720" w:footer="720"/>
      <w:cols w:equalWidth="0" w:num="2">
        <w:col w:space="720" w:w="4320"/>
        <w:col w:space="0" w:w="4320"/>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www.mywellbeingindex.org/blog/the-biggest-causes-of-nurse-burnout-and-what-you-can-do/" TargetMode="External"/><Relationship Id="rId10" Type="http://schemas.openxmlformats.org/officeDocument/2006/relationships/image" Target="media/image4.png"/><Relationship Id="rId13" Type="http://schemas.openxmlformats.org/officeDocument/2006/relationships/hyperlink" Target="https://web.archive.org/web/20220814092706/https://www.nationalnursesunited.org/news/beating-burnout-nurses-struggle-physical-mental-and-emotional-exhaustion-work" TargetMode="External"/><Relationship Id="rId12" Type="http://schemas.openxmlformats.org/officeDocument/2006/relationships/hyperlink" Target="https://web.archive.org/web/20220814092706/https://www.nationalnursesunited.org/news/beating-burnout-nurses-struggle-physical-mental-and-emotional-exhaustion-wor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i.org/10.1055/s-0040-1719086" TargetMode="External"/><Relationship Id="rId15" Type="http://schemas.openxmlformats.org/officeDocument/2006/relationships/hyperlink" Target="https://web.archive.org/web/20220814092706/http://dpeaflcio.org/wp-content/uploads/nursing-2013.pdf" TargetMode="External"/><Relationship Id="rId14" Type="http://schemas.openxmlformats.org/officeDocument/2006/relationships/hyperlink" Target="https://web.archive.org/web/20220814092706/http://dpeaflcio.org/wp-content/uploads/nursing-2013.pdf" TargetMode="External"/><Relationship Id="rId17" Type="http://schemas.openxmlformats.org/officeDocument/2006/relationships/hyperlink" Target="https://doi.org/10.1002/nop2.786" TargetMode="External"/><Relationship Id="rId16" Type="http://schemas.openxmlformats.org/officeDocument/2006/relationships/image" Target="media/image3.png"/><Relationship Id="rId5" Type="http://schemas.openxmlformats.org/officeDocument/2006/relationships/styles" Target="styles.xml"/><Relationship Id="rId6" Type="http://schemas.openxmlformats.org/officeDocument/2006/relationships/hyperlink" Target="https://www.knowyourotcs.org/tips-for-cold-and-flu/" TargetMode="External"/><Relationship Id="rId18" Type="http://schemas.openxmlformats.org/officeDocument/2006/relationships/image" Target="media/image1.png"/><Relationship Id="rId7" Type="http://schemas.openxmlformats.org/officeDocument/2006/relationships/hyperlink" Target="https://www.knowyourotcs.org/tips-for-cold-and-flu/" TargetMode="External"/><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