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B77F" w14:textId="50757859" w:rsidR="004A7E7B" w:rsidRDefault="0016658A" w:rsidP="004A7E7B">
      <w:r>
        <w:t xml:space="preserve">Appendix 1: </w:t>
      </w:r>
      <w:r w:rsidR="0038575F">
        <w:t xml:space="preserve">Blinded </w:t>
      </w:r>
      <w:r>
        <w:t>Webinar Details</w:t>
      </w:r>
      <w:r w:rsidR="0038575F">
        <w:t xml:space="preserve"> </w:t>
      </w:r>
      <w:r w:rsidR="00CA097C">
        <w:t>and themes</w:t>
      </w:r>
    </w:p>
    <w:p w14:paraId="47EB4ABB" w14:textId="5682E64C" w:rsidR="00CA097C" w:rsidRPr="004A7E7B" w:rsidRDefault="00CA097C" w:rsidP="004A7E7B">
      <w:r w:rsidRPr="00CA097C">
        <w:t>TABLE 1: Registration, Attendance, and YouTube views of each webinar. Note: Registration for Session 1.1 was not captured.</w:t>
      </w:r>
    </w:p>
    <w:tbl>
      <w:tblPr>
        <w:tblStyle w:val="TableGrid"/>
        <w:tblW w:w="5000" w:type="pct"/>
        <w:tblLook w:val="04A0" w:firstRow="1" w:lastRow="0" w:firstColumn="1" w:lastColumn="0" w:noHBand="0" w:noVBand="1"/>
      </w:tblPr>
      <w:tblGrid>
        <w:gridCol w:w="983"/>
        <w:gridCol w:w="661"/>
        <w:gridCol w:w="1239"/>
        <w:gridCol w:w="2705"/>
        <w:gridCol w:w="4643"/>
        <w:gridCol w:w="1284"/>
        <w:gridCol w:w="1083"/>
        <w:gridCol w:w="1072"/>
      </w:tblGrid>
      <w:tr w:rsidR="0021266D" w:rsidRPr="00303F0E" w14:paraId="6ADC0D9C" w14:textId="0581545A" w:rsidTr="0021266D">
        <w:trPr>
          <w:trHeight w:val="20"/>
        </w:trPr>
        <w:tc>
          <w:tcPr>
            <w:tcW w:w="360" w:type="pct"/>
            <w:vAlign w:val="center"/>
            <w:hideMark/>
          </w:tcPr>
          <w:p w14:paraId="7DEA777F"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b/>
                <w:bCs/>
                <w:color w:val="000000"/>
                <w:kern w:val="0"/>
                <w:sz w:val="20"/>
                <w:szCs w:val="20"/>
                <w14:ligatures w14:val="none"/>
              </w:rPr>
              <w:t>Session</w:t>
            </w:r>
          </w:p>
        </w:tc>
        <w:tc>
          <w:tcPr>
            <w:tcW w:w="242" w:type="pct"/>
            <w:vAlign w:val="center"/>
            <w:hideMark/>
          </w:tcPr>
          <w:p w14:paraId="26F746CA"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b/>
                <w:bCs/>
                <w:color w:val="000000"/>
                <w:kern w:val="0"/>
                <w:sz w:val="20"/>
                <w:szCs w:val="20"/>
                <w14:ligatures w14:val="none"/>
              </w:rPr>
              <w:t>Date</w:t>
            </w:r>
          </w:p>
        </w:tc>
        <w:tc>
          <w:tcPr>
            <w:tcW w:w="453" w:type="pct"/>
            <w:vAlign w:val="center"/>
            <w:hideMark/>
          </w:tcPr>
          <w:p w14:paraId="77636C66"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b/>
                <w:bCs/>
                <w:color w:val="000000"/>
                <w:kern w:val="0"/>
                <w:sz w:val="20"/>
                <w:szCs w:val="20"/>
                <w14:ligatures w14:val="none"/>
              </w:rPr>
              <w:t>Title</w:t>
            </w:r>
          </w:p>
        </w:tc>
        <w:tc>
          <w:tcPr>
            <w:tcW w:w="1040" w:type="pct"/>
          </w:tcPr>
          <w:p w14:paraId="106A54FC" w14:textId="7B75E850" w:rsidR="0021266D" w:rsidRPr="004A7E7B" w:rsidRDefault="0021266D" w:rsidP="00303F0E">
            <w:pP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Speakers</w:t>
            </w:r>
          </w:p>
        </w:tc>
        <w:tc>
          <w:tcPr>
            <w:tcW w:w="1720" w:type="pct"/>
            <w:vAlign w:val="center"/>
            <w:hideMark/>
          </w:tcPr>
          <w:p w14:paraId="3C428E06" w14:textId="52EAAFE2"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b/>
                <w:bCs/>
                <w:color w:val="000000"/>
                <w:kern w:val="0"/>
                <w:sz w:val="20"/>
                <w:szCs w:val="20"/>
                <w14:ligatures w14:val="none"/>
              </w:rPr>
              <w:t>Objectives</w:t>
            </w:r>
          </w:p>
        </w:tc>
        <w:tc>
          <w:tcPr>
            <w:tcW w:w="470" w:type="pct"/>
            <w:vAlign w:val="center"/>
            <w:hideMark/>
          </w:tcPr>
          <w:p w14:paraId="604F5784"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b/>
                <w:bCs/>
                <w:color w:val="000000"/>
                <w:kern w:val="0"/>
                <w:sz w:val="20"/>
                <w:szCs w:val="20"/>
                <w14:ligatures w14:val="none"/>
              </w:rPr>
              <w:t>Registered</w:t>
            </w:r>
          </w:p>
        </w:tc>
        <w:tc>
          <w:tcPr>
            <w:tcW w:w="396" w:type="pct"/>
            <w:vAlign w:val="center"/>
            <w:hideMark/>
          </w:tcPr>
          <w:p w14:paraId="5EDD4CE6"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b/>
                <w:bCs/>
                <w:color w:val="000000"/>
                <w:kern w:val="0"/>
                <w:sz w:val="20"/>
                <w:szCs w:val="20"/>
                <w14:ligatures w14:val="none"/>
              </w:rPr>
              <w:t>Attended</w:t>
            </w:r>
          </w:p>
        </w:tc>
        <w:tc>
          <w:tcPr>
            <w:tcW w:w="320" w:type="pct"/>
          </w:tcPr>
          <w:p w14:paraId="0CD9794B" w14:textId="77777777" w:rsidR="0021266D" w:rsidRDefault="0021266D" w:rsidP="00303F0E">
            <w:pP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YouTube</w:t>
            </w:r>
          </w:p>
          <w:p w14:paraId="4D8DA748" w14:textId="4266D510" w:rsidR="0021266D" w:rsidRPr="004A7E7B" w:rsidRDefault="0021266D" w:rsidP="00303F0E">
            <w:pP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Views</w:t>
            </w:r>
          </w:p>
        </w:tc>
      </w:tr>
      <w:tr w:rsidR="0021266D" w:rsidRPr="00303F0E" w14:paraId="310CB209" w14:textId="4E5763E6" w:rsidTr="0021266D">
        <w:trPr>
          <w:trHeight w:val="20"/>
        </w:trPr>
        <w:tc>
          <w:tcPr>
            <w:tcW w:w="360" w:type="pct"/>
            <w:vAlign w:val="center"/>
            <w:hideMark/>
          </w:tcPr>
          <w:p w14:paraId="170315C2"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1.1</w:t>
            </w:r>
          </w:p>
        </w:tc>
        <w:tc>
          <w:tcPr>
            <w:tcW w:w="242" w:type="pct"/>
            <w:vAlign w:val="center"/>
            <w:hideMark/>
          </w:tcPr>
          <w:p w14:paraId="6C665F28"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Jan 2023</w:t>
            </w:r>
          </w:p>
        </w:tc>
        <w:tc>
          <w:tcPr>
            <w:tcW w:w="453" w:type="pct"/>
            <w:vAlign w:val="center"/>
            <w:hideMark/>
          </w:tcPr>
          <w:p w14:paraId="2E5D7DC4" w14:textId="1A1B15CB" w:rsidR="0021266D" w:rsidRPr="004A7E7B" w:rsidRDefault="0021266D" w:rsidP="00303F0E">
            <w:pPr>
              <w:rPr>
                <w:rFonts w:ascii="Arial" w:eastAsia="Times New Roman" w:hAnsi="Arial" w:cs="Arial"/>
                <w:kern w:val="0"/>
                <w:sz w:val="20"/>
                <w:szCs w:val="20"/>
                <w14:ligatures w14:val="none"/>
              </w:rPr>
            </w:pPr>
            <w:r w:rsidRPr="00D0772E">
              <w:rPr>
                <w:rFonts w:ascii="Arial" w:eastAsia="Times New Roman" w:hAnsi="Arial" w:cs="Arial"/>
                <w:kern w:val="0"/>
                <w:sz w:val="20"/>
                <w:szCs w:val="20"/>
                <w14:ligatures w14:val="none"/>
              </w:rPr>
              <w:t>Want to Be a Medical Librarian? How to Land Your First Job!</w:t>
            </w:r>
          </w:p>
          <w:p w14:paraId="53AE81F9" w14:textId="77777777" w:rsidR="0021266D" w:rsidRPr="004A7E7B" w:rsidRDefault="0021266D" w:rsidP="00303F0E">
            <w:pPr>
              <w:rPr>
                <w:rFonts w:ascii="Arial" w:eastAsia="Times New Roman" w:hAnsi="Arial" w:cs="Arial"/>
                <w:kern w:val="0"/>
                <w:sz w:val="20"/>
                <w:szCs w:val="20"/>
                <w14:ligatures w14:val="none"/>
              </w:rPr>
            </w:pPr>
          </w:p>
        </w:tc>
        <w:tc>
          <w:tcPr>
            <w:tcW w:w="1040" w:type="pct"/>
          </w:tcPr>
          <w:p w14:paraId="0A47BE73" w14:textId="43266F5F" w:rsidR="0021266D" w:rsidRPr="009E3E13" w:rsidRDefault="0021266D" w:rsidP="009E3E13">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[Blinded]</w:t>
            </w:r>
          </w:p>
        </w:tc>
        <w:tc>
          <w:tcPr>
            <w:tcW w:w="1720" w:type="pct"/>
            <w:vAlign w:val="center"/>
            <w:hideMark/>
          </w:tcPr>
          <w:p w14:paraId="68BD0904" w14:textId="5A4AFFE4" w:rsidR="0021266D" w:rsidRPr="00303F0E" w:rsidRDefault="0021266D" w:rsidP="00303F0E">
            <w:pPr>
              <w:pStyle w:val="ListParagraph"/>
              <w:numPr>
                <w:ilvl w:val="0"/>
                <w:numId w:val="4"/>
              </w:numPr>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Understand the components of an academic interview (presentation and other meetings)</w:t>
            </w:r>
          </w:p>
          <w:p w14:paraId="370FDD4F" w14:textId="6E973D2E" w:rsidR="0021266D" w:rsidRPr="00303F0E" w:rsidRDefault="0021266D" w:rsidP="00303F0E">
            <w:pPr>
              <w:pStyle w:val="ListParagraph"/>
              <w:numPr>
                <w:ilvl w:val="0"/>
                <w:numId w:val="4"/>
              </w:numPr>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 xml:space="preserve">Identify the elements of an academic CV and structure </w:t>
            </w:r>
            <w:proofErr w:type="gramStart"/>
            <w:r w:rsidRPr="00303F0E">
              <w:rPr>
                <w:rFonts w:ascii="Arial" w:eastAsia="Times New Roman" w:hAnsi="Arial" w:cs="Arial"/>
                <w:color w:val="000000"/>
                <w:kern w:val="0"/>
                <w:sz w:val="20"/>
                <w:szCs w:val="20"/>
                <w14:ligatures w14:val="none"/>
              </w:rPr>
              <w:t>content</w:t>
            </w:r>
            <w:proofErr w:type="gramEnd"/>
            <w:r w:rsidRPr="00303F0E">
              <w:rPr>
                <w:rFonts w:ascii="Arial" w:eastAsia="Times New Roman" w:hAnsi="Arial" w:cs="Arial"/>
                <w:color w:val="000000"/>
                <w:kern w:val="0"/>
                <w:sz w:val="20"/>
                <w:szCs w:val="20"/>
                <w14:ligatures w14:val="none"/>
              </w:rPr>
              <w:t xml:space="preserve"> accordingly, differentiate between a CV and a resume</w:t>
            </w:r>
          </w:p>
          <w:p w14:paraId="76A9E707" w14:textId="0BA31ACE" w:rsidR="0021266D" w:rsidRPr="00303F0E" w:rsidRDefault="0021266D" w:rsidP="00303F0E">
            <w:pPr>
              <w:pStyle w:val="ListParagraph"/>
              <w:numPr>
                <w:ilvl w:val="0"/>
                <w:numId w:val="4"/>
              </w:numPr>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Writing cover letters for the job description</w:t>
            </w:r>
          </w:p>
          <w:p w14:paraId="6F10F4BF" w14:textId="235DC3D3" w:rsidR="0021266D" w:rsidRPr="00303F0E" w:rsidRDefault="0021266D" w:rsidP="00303F0E">
            <w:pPr>
              <w:pStyle w:val="ListParagraph"/>
              <w:numPr>
                <w:ilvl w:val="0"/>
                <w:numId w:val="4"/>
              </w:numPr>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Relate transferable skills</w:t>
            </w:r>
          </w:p>
          <w:p w14:paraId="788A314E" w14:textId="1FB1DCE1" w:rsidR="0021266D" w:rsidRPr="00303F0E" w:rsidRDefault="0021266D" w:rsidP="00303F0E">
            <w:pPr>
              <w:pStyle w:val="ListParagraph"/>
              <w:numPr>
                <w:ilvl w:val="0"/>
                <w:numId w:val="4"/>
              </w:numPr>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Distinguish the differences between hospital and academic hiring</w:t>
            </w:r>
          </w:p>
          <w:p w14:paraId="68926928" w14:textId="5F462385" w:rsidR="0021266D" w:rsidRPr="00303F0E" w:rsidRDefault="0021266D" w:rsidP="00303F0E">
            <w:pPr>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     Preparing for phone/virtual interview</w:t>
            </w:r>
          </w:p>
        </w:tc>
        <w:tc>
          <w:tcPr>
            <w:tcW w:w="470" w:type="pct"/>
            <w:vAlign w:val="center"/>
            <w:hideMark/>
          </w:tcPr>
          <w:p w14:paraId="53D90C0E" w14:textId="10E05A0D" w:rsidR="0021266D" w:rsidRPr="004A7E7B" w:rsidRDefault="0021266D" w:rsidP="00303F0E">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Registration for this event was not captured</w:t>
            </w:r>
          </w:p>
        </w:tc>
        <w:tc>
          <w:tcPr>
            <w:tcW w:w="396" w:type="pct"/>
            <w:vAlign w:val="center"/>
            <w:hideMark/>
          </w:tcPr>
          <w:p w14:paraId="48B05DD6"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74</w:t>
            </w:r>
          </w:p>
        </w:tc>
        <w:tc>
          <w:tcPr>
            <w:tcW w:w="320" w:type="pct"/>
            <w:vAlign w:val="center"/>
          </w:tcPr>
          <w:p w14:paraId="09A05A3B" w14:textId="100EBB53" w:rsidR="0021266D" w:rsidRPr="004A7E7B" w:rsidRDefault="0021266D" w:rsidP="0021266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1200</w:t>
            </w:r>
          </w:p>
        </w:tc>
      </w:tr>
      <w:tr w:rsidR="0021266D" w:rsidRPr="00303F0E" w14:paraId="497A6965" w14:textId="67B23D95" w:rsidTr="0021266D">
        <w:trPr>
          <w:trHeight w:val="2213"/>
        </w:trPr>
        <w:tc>
          <w:tcPr>
            <w:tcW w:w="360" w:type="pct"/>
            <w:vAlign w:val="center"/>
            <w:hideMark/>
          </w:tcPr>
          <w:p w14:paraId="4F16CE32"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1.2</w:t>
            </w:r>
          </w:p>
        </w:tc>
        <w:tc>
          <w:tcPr>
            <w:tcW w:w="242" w:type="pct"/>
            <w:vAlign w:val="center"/>
            <w:hideMark/>
          </w:tcPr>
          <w:p w14:paraId="38F14695"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April 2023</w:t>
            </w:r>
          </w:p>
        </w:tc>
        <w:tc>
          <w:tcPr>
            <w:tcW w:w="453" w:type="pct"/>
            <w:vAlign w:val="center"/>
            <w:hideMark/>
          </w:tcPr>
          <w:p w14:paraId="1B2D839E" w14:textId="0BB05EC4" w:rsidR="0021266D" w:rsidRPr="004A7E7B" w:rsidRDefault="0021266D" w:rsidP="00303F0E">
            <w:pPr>
              <w:rPr>
                <w:rFonts w:ascii="Arial" w:eastAsia="Times New Roman" w:hAnsi="Arial" w:cs="Arial"/>
                <w:kern w:val="0"/>
                <w:sz w:val="20"/>
                <w:szCs w:val="20"/>
                <w14:ligatures w14:val="none"/>
              </w:rPr>
            </w:pPr>
            <w:r w:rsidRPr="00D0772E">
              <w:rPr>
                <w:rFonts w:ascii="Arial" w:eastAsia="Times New Roman" w:hAnsi="Arial" w:cs="Arial"/>
                <w:kern w:val="0"/>
                <w:sz w:val="20"/>
                <w:szCs w:val="20"/>
                <w14:ligatures w14:val="none"/>
              </w:rPr>
              <w:t>Goal Setting (And Success in Achieving Them!) </w:t>
            </w:r>
          </w:p>
          <w:p w14:paraId="3C1F14CC" w14:textId="143CA0B6" w:rsidR="0021266D" w:rsidRPr="004A7E7B" w:rsidRDefault="0021266D" w:rsidP="00303F0E">
            <w:pPr>
              <w:rPr>
                <w:rFonts w:ascii="Arial" w:eastAsia="Times New Roman" w:hAnsi="Arial" w:cs="Arial"/>
                <w:kern w:val="0"/>
                <w:sz w:val="20"/>
                <w:szCs w:val="20"/>
                <w14:ligatures w14:val="none"/>
              </w:rPr>
            </w:pPr>
          </w:p>
        </w:tc>
        <w:tc>
          <w:tcPr>
            <w:tcW w:w="1040" w:type="pct"/>
          </w:tcPr>
          <w:p w14:paraId="32132FE6" w14:textId="29F786F8" w:rsidR="0021266D" w:rsidRPr="009E3E13" w:rsidRDefault="0021266D" w:rsidP="009E3E13">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[Blinded]</w:t>
            </w:r>
          </w:p>
        </w:tc>
        <w:tc>
          <w:tcPr>
            <w:tcW w:w="1720" w:type="pct"/>
            <w:vAlign w:val="center"/>
            <w:hideMark/>
          </w:tcPr>
          <w:p w14:paraId="0F6DAC21" w14:textId="7D61F579" w:rsidR="0021266D" w:rsidRPr="00303F0E" w:rsidRDefault="0021266D" w:rsidP="00303F0E">
            <w:pPr>
              <w:pStyle w:val="ListParagraph"/>
              <w:numPr>
                <w:ilvl w:val="0"/>
                <w:numId w:val="4"/>
              </w:numPr>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Setting goals and working toward meeting them</w:t>
            </w:r>
          </w:p>
          <w:p w14:paraId="7D71358B" w14:textId="55108DA8" w:rsidR="0021266D" w:rsidRPr="00303F0E" w:rsidRDefault="0021266D" w:rsidP="00303F0E">
            <w:pPr>
              <w:pStyle w:val="ListParagraph"/>
              <w:numPr>
                <w:ilvl w:val="0"/>
                <w:numId w:val="4"/>
              </w:numPr>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Building a professional network to support your goals (finding collaborators)</w:t>
            </w:r>
          </w:p>
          <w:p w14:paraId="36B2EE95" w14:textId="77777777" w:rsidR="0021266D" w:rsidRPr="00303F0E" w:rsidRDefault="0021266D" w:rsidP="00303F0E">
            <w:pPr>
              <w:pStyle w:val="ListParagraph"/>
              <w:numPr>
                <w:ilvl w:val="0"/>
                <w:numId w:val="4"/>
              </w:numPr>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Developing skills to meet your goals (places to seek professional development)</w:t>
            </w:r>
          </w:p>
          <w:p w14:paraId="15DC8928" w14:textId="17691E0F" w:rsidR="0021266D" w:rsidRPr="00303F0E" w:rsidRDefault="0021266D" w:rsidP="00303F0E">
            <w:pPr>
              <w:pStyle w:val="ListParagraph"/>
              <w:numPr>
                <w:ilvl w:val="0"/>
                <w:numId w:val="4"/>
              </w:numPr>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Applying for grants and other funding (NNLM grants, meeting travel awards, etc.).</w:t>
            </w:r>
          </w:p>
        </w:tc>
        <w:tc>
          <w:tcPr>
            <w:tcW w:w="470" w:type="pct"/>
            <w:vAlign w:val="center"/>
            <w:hideMark/>
          </w:tcPr>
          <w:p w14:paraId="48869115"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77</w:t>
            </w:r>
          </w:p>
        </w:tc>
        <w:tc>
          <w:tcPr>
            <w:tcW w:w="396" w:type="pct"/>
            <w:vAlign w:val="center"/>
            <w:hideMark/>
          </w:tcPr>
          <w:p w14:paraId="6D78AC64"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48</w:t>
            </w:r>
          </w:p>
        </w:tc>
        <w:tc>
          <w:tcPr>
            <w:tcW w:w="320" w:type="pct"/>
            <w:vAlign w:val="center"/>
          </w:tcPr>
          <w:p w14:paraId="3BF16727" w14:textId="3B71A3C2" w:rsidR="0021266D" w:rsidRPr="004A7E7B" w:rsidRDefault="0021266D" w:rsidP="0021266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163</w:t>
            </w:r>
          </w:p>
        </w:tc>
      </w:tr>
      <w:tr w:rsidR="0021266D" w:rsidRPr="00303F0E" w14:paraId="0B50B433" w14:textId="370F1DD5" w:rsidTr="0021266D">
        <w:trPr>
          <w:trHeight w:val="20"/>
        </w:trPr>
        <w:tc>
          <w:tcPr>
            <w:tcW w:w="360" w:type="pct"/>
            <w:vAlign w:val="center"/>
            <w:hideMark/>
          </w:tcPr>
          <w:p w14:paraId="782A2546"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1.3</w:t>
            </w:r>
          </w:p>
        </w:tc>
        <w:tc>
          <w:tcPr>
            <w:tcW w:w="242" w:type="pct"/>
            <w:vAlign w:val="center"/>
            <w:hideMark/>
          </w:tcPr>
          <w:p w14:paraId="03E4E99E"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July 2023</w:t>
            </w:r>
          </w:p>
        </w:tc>
        <w:tc>
          <w:tcPr>
            <w:tcW w:w="453" w:type="pct"/>
            <w:vAlign w:val="center"/>
            <w:hideMark/>
          </w:tcPr>
          <w:p w14:paraId="7FE2F72F" w14:textId="3F374326" w:rsidR="0021266D" w:rsidRPr="004A7E7B" w:rsidRDefault="0021266D" w:rsidP="00303F0E">
            <w:pPr>
              <w:rPr>
                <w:rFonts w:ascii="Arial" w:eastAsia="Times New Roman" w:hAnsi="Arial" w:cs="Arial"/>
                <w:kern w:val="0"/>
                <w:sz w:val="20"/>
                <w:szCs w:val="20"/>
                <w14:ligatures w14:val="none"/>
              </w:rPr>
            </w:pPr>
            <w:r w:rsidRPr="00D0772E">
              <w:rPr>
                <w:rFonts w:ascii="Arial" w:eastAsia="Times New Roman" w:hAnsi="Arial" w:cs="Arial"/>
                <w:kern w:val="0"/>
                <w:sz w:val="20"/>
                <w:szCs w:val="20"/>
                <w14:ligatures w14:val="none"/>
              </w:rPr>
              <w:t>Creating a Road Map for Career Success: Applying for Tenure, Promotion, or AHIP</w:t>
            </w:r>
          </w:p>
          <w:p w14:paraId="4131CD65" w14:textId="17F5FAA5" w:rsidR="0021266D" w:rsidRPr="004A7E7B" w:rsidRDefault="0021266D" w:rsidP="00303F0E">
            <w:pPr>
              <w:rPr>
                <w:rFonts w:ascii="Arial" w:eastAsia="Times New Roman" w:hAnsi="Arial" w:cs="Arial"/>
                <w:kern w:val="0"/>
                <w:sz w:val="20"/>
                <w:szCs w:val="20"/>
                <w14:ligatures w14:val="none"/>
              </w:rPr>
            </w:pPr>
          </w:p>
        </w:tc>
        <w:tc>
          <w:tcPr>
            <w:tcW w:w="1040" w:type="pct"/>
          </w:tcPr>
          <w:p w14:paraId="0B2C9E5A" w14:textId="10D814BF" w:rsidR="0021266D" w:rsidRPr="004A7E7B" w:rsidRDefault="0021266D" w:rsidP="009E3E13">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[Blinded]</w:t>
            </w:r>
          </w:p>
        </w:tc>
        <w:tc>
          <w:tcPr>
            <w:tcW w:w="1720" w:type="pct"/>
            <w:vAlign w:val="center"/>
            <w:hideMark/>
          </w:tcPr>
          <w:p w14:paraId="2EA17755" w14:textId="252157A8" w:rsidR="0021266D" w:rsidRPr="004A7E7B" w:rsidRDefault="0021266D" w:rsidP="0016658A">
            <w:pPr>
              <w:ind w:left="361" w:hanging="361"/>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     Define relevant terminology</w:t>
            </w:r>
          </w:p>
          <w:p w14:paraId="036BB0FA" w14:textId="77777777" w:rsidR="0021266D" w:rsidRPr="004A7E7B" w:rsidRDefault="0021266D" w:rsidP="0016658A">
            <w:pPr>
              <w:ind w:left="361" w:hanging="361"/>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     Differentiate and compare the tenure, promotion, and AHIP processes, benefits &amp; drawbacks</w:t>
            </w:r>
          </w:p>
          <w:p w14:paraId="55712A08" w14:textId="77777777" w:rsidR="0021266D" w:rsidRPr="004A7E7B" w:rsidRDefault="0021266D" w:rsidP="0016658A">
            <w:pPr>
              <w:ind w:left="361" w:hanging="361"/>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     Summarize the timelines involved and plan for application processes</w:t>
            </w:r>
          </w:p>
          <w:p w14:paraId="71664C1F" w14:textId="77777777" w:rsidR="0021266D" w:rsidRPr="004A7E7B" w:rsidRDefault="0021266D" w:rsidP="0016658A">
            <w:pPr>
              <w:ind w:left="361" w:hanging="361"/>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     Organize necessary documentation</w:t>
            </w:r>
          </w:p>
          <w:p w14:paraId="7C832B95" w14:textId="77777777" w:rsidR="0021266D" w:rsidRPr="004A7E7B" w:rsidRDefault="0021266D" w:rsidP="0016658A">
            <w:pPr>
              <w:ind w:left="361" w:hanging="361"/>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     Identify appropriate mentors</w:t>
            </w:r>
          </w:p>
          <w:p w14:paraId="4F2BE9BD" w14:textId="77777777" w:rsidR="0021266D" w:rsidRPr="004A7E7B" w:rsidRDefault="0021266D" w:rsidP="0016658A">
            <w:pPr>
              <w:ind w:left="361" w:hanging="361"/>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     Utilize available AHIP funding support</w:t>
            </w:r>
          </w:p>
        </w:tc>
        <w:tc>
          <w:tcPr>
            <w:tcW w:w="470" w:type="pct"/>
            <w:vAlign w:val="center"/>
            <w:hideMark/>
          </w:tcPr>
          <w:p w14:paraId="62B2E62D"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163</w:t>
            </w:r>
          </w:p>
        </w:tc>
        <w:tc>
          <w:tcPr>
            <w:tcW w:w="396" w:type="pct"/>
            <w:vAlign w:val="center"/>
            <w:hideMark/>
          </w:tcPr>
          <w:p w14:paraId="0435497B"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90</w:t>
            </w:r>
          </w:p>
        </w:tc>
        <w:tc>
          <w:tcPr>
            <w:tcW w:w="320" w:type="pct"/>
            <w:vAlign w:val="center"/>
          </w:tcPr>
          <w:p w14:paraId="59F845F9" w14:textId="75F97E6A" w:rsidR="0021266D" w:rsidRPr="004A7E7B" w:rsidRDefault="0021266D" w:rsidP="0021266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234</w:t>
            </w:r>
          </w:p>
        </w:tc>
      </w:tr>
      <w:tr w:rsidR="0021266D" w:rsidRPr="00303F0E" w14:paraId="24CAF4E5" w14:textId="24A15A3E" w:rsidTr="0021266D">
        <w:trPr>
          <w:trHeight w:val="800"/>
        </w:trPr>
        <w:tc>
          <w:tcPr>
            <w:tcW w:w="360" w:type="pct"/>
            <w:vAlign w:val="center"/>
            <w:hideMark/>
          </w:tcPr>
          <w:p w14:paraId="321DCB11"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2.1</w:t>
            </w:r>
          </w:p>
        </w:tc>
        <w:tc>
          <w:tcPr>
            <w:tcW w:w="242" w:type="pct"/>
            <w:vAlign w:val="center"/>
            <w:hideMark/>
          </w:tcPr>
          <w:p w14:paraId="3C040A0B"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Feb 2024</w:t>
            </w:r>
          </w:p>
        </w:tc>
        <w:tc>
          <w:tcPr>
            <w:tcW w:w="453" w:type="pct"/>
            <w:vAlign w:val="center"/>
            <w:hideMark/>
          </w:tcPr>
          <w:p w14:paraId="02020AB0" w14:textId="1B229F5A" w:rsidR="0021266D" w:rsidRPr="004A7E7B" w:rsidRDefault="0021266D" w:rsidP="00303F0E">
            <w:pPr>
              <w:rPr>
                <w:rFonts w:ascii="Arial" w:eastAsia="Times New Roman" w:hAnsi="Arial" w:cs="Arial"/>
                <w:kern w:val="0"/>
                <w:sz w:val="20"/>
                <w:szCs w:val="20"/>
                <w14:ligatures w14:val="none"/>
              </w:rPr>
            </w:pPr>
            <w:r w:rsidRPr="00D0772E">
              <w:rPr>
                <w:rFonts w:ascii="Arial" w:eastAsia="Times New Roman" w:hAnsi="Arial" w:cs="Arial"/>
                <w:kern w:val="0"/>
                <w:sz w:val="20"/>
                <w:szCs w:val="20"/>
                <w14:ligatures w14:val="none"/>
              </w:rPr>
              <w:t xml:space="preserve">Integrating Research, Publishing, and Presenting </w:t>
            </w:r>
            <w:proofErr w:type="gramStart"/>
            <w:r w:rsidRPr="00D0772E">
              <w:rPr>
                <w:rFonts w:ascii="Arial" w:eastAsia="Times New Roman" w:hAnsi="Arial" w:cs="Arial"/>
                <w:kern w:val="0"/>
                <w:sz w:val="20"/>
                <w:szCs w:val="20"/>
                <w14:ligatures w14:val="none"/>
              </w:rPr>
              <w:lastRenderedPageBreak/>
              <w:t>Into</w:t>
            </w:r>
            <w:proofErr w:type="gramEnd"/>
            <w:r w:rsidRPr="00D0772E">
              <w:rPr>
                <w:rFonts w:ascii="Arial" w:eastAsia="Times New Roman" w:hAnsi="Arial" w:cs="Arial"/>
                <w:kern w:val="0"/>
                <w:sz w:val="20"/>
                <w:szCs w:val="20"/>
                <w14:ligatures w14:val="none"/>
              </w:rPr>
              <w:t xml:space="preserve"> Your Career  </w:t>
            </w:r>
          </w:p>
          <w:p w14:paraId="2360A861" w14:textId="6073C5A3" w:rsidR="0021266D" w:rsidRPr="004A7E7B" w:rsidRDefault="0021266D" w:rsidP="00303F0E">
            <w:pPr>
              <w:rPr>
                <w:rFonts w:ascii="Arial" w:eastAsia="Times New Roman" w:hAnsi="Arial" w:cs="Arial"/>
                <w:kern w:val="0"/>
                <w:sz w:val="20"/>
                <w:szCs w:val="20"/>
                <w14:ligatures w14:val="none"/>
              </w:rPr>
            </w:pPr>
          </w:p>
        </w:tc>
        <w:tc>
          <w:tcPr>
            <w:tcW w:w="1040" w:type="pct"/>
          </w:tcPr>
          <w:p w14:paraId="70D4D71A" w14:textId="475B32DF" w:rsidR="0021266D" w:rsidRPr="009E3E13" w:rsidRDefault="0021266D" w:rsidP="009E3E13">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lastRenderedPageBreak/>
              <w:t>[Blinded]</w:t>
            </w:r>
          </w:p>
        </w:tc>
        <w:tc>
          <w:tcPr>
            <w:tcW w:w="1720" w:type="pct"/>
            <w:vAlign w:val="center"/>
            <w:hideMark/>
          </w:tcPr>
          <w:p w14:paraId="4E284BAF" w14:textId="49C39FC3" w:rsidR="0021266D" w:rsidRPr="00303F0E" w:rsidRDefault="0021266D" w:rsidP="0016658A">
            <w:pPr>
              <w:pStyle w:val="ListParagraph"/>
              <w:numPr>
                <w:ilvl w:val="0"/>
                <w:numId w:val="9"/>
              </w:numPr>
              <w:tabs>
                <w:tab w:val="left" w:pos="361"/>
              </w:tabs>
              <w:ind w:left="361" w:hanging="359"/>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Identify strategies for beginning the research process</w:t>
            </w:r>
          </w:p>
          <w:p w14:paraId="7AEC5D20" w14:textId="3E8D3098" w:rsidR="0021266D" w:rsidRPr="004A7E7B" w:rsidRDefault="0021266D" w:rsidP="0016658A">
            <w:pPr>
              <w:tabs>
                <w:tab w:val="left" w:pos="361"/>
              </w:tabs>
              <w:ind w:left="361" w:hanging="359"/>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     Understand important considerations in the current publishing and academic</w:t>
            </w:r>
            <w:r w:rsidRPr="00303F0E">
              <w:rPr>
                <w:rFonts w:ascii="Arial" w:eastAsia="Times New Roman" w:hAnsi="Arial" w:cs="Arial"/>
                <w:color w:val="000000"/>
                <w:kern w:val="0"/>
                <w:sz w:val="20"/>
                <w:szCs w:val="20"/>
                <w14:ligatures w14:val="none"/>
              </w:rPr>
              <w:t xml:space="preserve"> </w:t>
            </w:r>
            <w:r w:rsidRPr="004A7E7B">
              <w:rPr>
                <w:rFonts w:ascii="Arial" w:eastAsia="Times New Roman" w:hAnsi="Arial" w:cs="Arial"/>
                <w:color w:val="000000"/>
                <w:kern w:val="0"/>
                <w:sz w:val="20"/>
                <w:szCs w:val="20"/>
                <w14:ligatures w14:val="none"/>
              </w:rPr>
              <w:t>environments and ways to navigate them</w:t>
            </w:r>
          </w:p>
          <w:p w14:paraId="58BD8BAF" w14:textId="6A2A75DA" w:rsidR="0021266D" w:rsidRPr="004A7E7B" w:rsidRDefault="0021266D" w:rsidP="0016658A">
            <w:pPr>
              <w:tabs>
                <w:tab w:val="left" w:pos="361"/>
              </w:tabs>
              <w:ind w:left="361" w:hanging="359"/>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lastRenderedPageBreak/>
              <w:t>·     Learn steps and skills to take your work from submission to presentation</w:t>
            </w:r>
          </w:p>
        </w:tc>
        <w:tc>
          <w:tcPr>
            <w:tcW w:w="470" w:type="pct"/>
            <w:vAlign w:val="center"/>
            <w:hideMark/>
          </w:tcPr>
          <w:p w14:paraId="7AA4AA89"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lastRenderedPageBreak/>
              <w:t>284</w:t>
            </w:r>
          </w:p>
        </w:tc>
        <w:tc>
          <w:tcPr>
            <w:tcW w:w="396" w:type="pct"/>
            <w:vAlign w:val="center"/>
            <w:hideMark/>
          </w:tcPr>
          <w:p w14:paraId="1A2F548A"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143</w:t>
            </w:r>
          </w:p>
        </w:tc>
        <w:tc>
          <w:tcPr>
            <w:tcW w:w="320" w:type="pct"/>
            <w:vAlign w:val="center"/>
          </w:tcPr>
          <w:p w14:paraId="5D0FCEDE" w14:textId="5ED5C66D" w:rsidR="0021266D" w:rsidRPr="004A7E7B" w:rsidRDefault="0021266D" w:rsidP="0021266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230</w:t>
            </w:r>
          </w:p>
        </w:tc>
      </w:tr>
      <w:tr w:rsidR="0021266D" w:rsidRPr="00303F0E" w14:paraId="4842BCAE" w14:textId="42800C64" w:rsidTr="0021266D">
        <w:trPr>
          <w:trHeight w:val="20"/>
        </w:trPr>
        <w:tc>
          <w:tcPr>
            <w:tcW w:w="360" w:type="pct"/>
            <w:vAlign w:val="center"/>
            <w:hideMark/>
          </w:tcPr>
          <w:p w14:paraId="1921C8F7"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2.2</w:t>
            </w:r>
          </w:p>
        </w:tc>
        <w:tc>
          <w:tcPr>
            <w:tcW w:w="242" w:type="pct"/>
            <w:vAlign w:val="center"/>
            <w:hideMark/>
          </w:tcPr>
          <w:p w14:paraId="4027620E"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April 2024</w:t>
            </w:r>
          </w:p>
        </w:tc>
        <w:tc>
          <w:tcPr>
            <w:tcW w:w="453" w:type="pct"/>
            <w:vAlign w:val="center"/>
            <w:hideMark/>
          </w:tcPr>
          <w:p w14:paraId="41E98103" w14:textId="57623879" w:rsidR="0021266D" w:rsidRPr="004A7E7B" w:rsidRDefault="0021266D" w:rsidP="00303F0E">
            <w:pPr>
              <w:rPr>
                <w:rFonts w:ascii="Arial" w:eastAsia="Times New Roman" w:hAnsi="Arial" w:cs="Arial"/>
                <w:kern w:val="0"/>
                <w:sz w:val="20"/>
                <w:szCs w:val="20"/>
                <w14:ligatures w14:val="none"/>
              </w:rPr>
            </w:pPr>
            <w:r w:rsidRPr="00D0772E">
              <w:rPr>
                <w:rFonts w:ascii="Arial" w:eastAsia="Times New Roman" w:hAnsi="Arial" w:cs="Arial"/>
                <w:kern w:val="0"/>
                <w:sz w:val="20"/>
                <w:szCs w:val="20"/>
                <w14:ligatures w14:val="none"/>
              </w:rPr>
              <w:t>From Wallflowers to Power Players: Mastering the Art of Networking</w:t>
            </w:r>
          </w:p>
          <w:p w14:paraId="36072655" w14:textId="12B375F8" w:rsidR="0021266D" w:rsidRPr="004A7E7B" w:rsidRDefault="0021266D" w:rsidP="00303F0E">
            <w:pPr>
              <w:rPr>
                <w:rFonts w:ascii="Arial" w:eastAsia="Times New Roman" w:hAnsi="Arial" w:cs="Arial"/>
                <w:kern w:val="0"/>
                <w:sz w:val="20"/>
                <w:szCs w:val="20"/>
                <w14:ligatures w14:val="none"/>
              </w:rPr>
            </w:pPr>
          </w:p>
        </w:tc>
        <w:tc>
          <w:tcPr>
            <w:tcW w:w="1040" w:type="pct"/>
          </w:tcPr>
          <w:p w14:paraId="10BDA47E" w14:textId="01FFEE37" w:rsidR="0021266D" w:rsidRPr="009E3E13" w:rsidRDefault="0021266D" w:rsidP="009E3E13">
            <w:pPr>
              <w:shd w:val="clear" w:color="auto" w:fill="FFFFFF"/>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[Blinded]</w:t>
            </w:r>
          </w:p>
        </w:tc>
        <w:tc>
          <w:tcPr>
            <w:tcW w:w="1720" w:type="pct"/>
            <w:vAlign w:val="center"/>
            <w:hideMark/>
          </w:tcPr>
          <w:p w14:paraId="1B75AFE3" w14:textId="304CE36D" w:rsidR="0021266D" w:rsidRPr="00303F0E" w:rsidRDefault="0021266D" w:rsidP="0016658A">
            <w:pPr>
              <w:pStyle w:val="ListParagraph"/>
              <w:numPr>
                <w:ilvl w:val="0"/>
                <w:numId w:val="7"/>
              </w:numPr>
              <w:shd w:val="clear" w:color="auto" w:fill="FFFFFF"/>
              <w:tabs>
                <w:tab w:val="left" w:pos="361"/>
              </w:tabs>
              <w:ind w:left="361" w:hanging="359"/>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Building your professional network</w:t>
            </w:r>
          </w:p>
          <w:p w14:paraId="489B7F7E" w14:textId="77777777" w:rsidR="0021266D" w:rsidRPr="00303F0E" w:rsidRDefault="0021266D" w:rsidP="0016658A">
            <w:pPr>
              <w:pStyle w:val="ListParagraph"/>
              <w:numPr>
                <w:ilvl w:val="0"/>
                <w:numId w:val="7"/>
              </w:numPr>
              <w:shd w:val="clear" w:color="auto" w:fill="FFFFFF"/>
              <w:tabs>
                <w:tab w:val="left" w:pos="361"/>
              </w:tabs>
              <w:ind w:left="361" w:hanging="359"/>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Peer to peer networking</w:t>
            </w:r>
          </w:p>
          <w:p w14:paraId="08D6DFDF" w14:textId="77777777" w:rsidR="0021266D" w:rsidRPr="00303F0E" w:rsidRDefault="0021266D" w:rsidP="0016658A">
            <w:pPr>
              <w:pStyle w:val="ListParagraph"/>
              <w:numPr>
                <w:ilvl w:val="0"/>
                <w:numId w:val="7"/>
              </w:numPr>
              <w:shd w:val="clear" w:color="auto" w:fill="FFFFFF"/>
              <w:tabs>
                <w:tab w:val="left" w:pos="361"/>
              </w:tabs>
              <w:ind w:left="361" w:hanging="359"/>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Building community partners</w:t>
            </w:r>
          </w:p>
          <w:p w14:paraId="7F6002D4" w14:textId="537DAFDE" w:rsidR="0021266D" w:rsidRPr="00303F0E" w:rsidRDefault="0021266D" w:rsidP="0016658A">
            <w:pPr>
              <w:pStyle w:val="ListParagraph"/>
              <w:numPr>
                <w:ilvl w:val="0"/>
                <w:numId w:val="7"/>
              </w:numPr>
              <w:shd w:val="clear" w:color="auto" w:fill="FFFFFF"/>
              <w:tabs>
                <w:tab w:val="left" w:pos="361"/>
              </w:tabs>
              <w:ind w:left="361" w:hanging="359"/>
              <w:rPr>
                <w:rFonts w:ascii="Arial" w:eastAsia="Times New Roman" w:hAnsi="Arial" w:cs="Arial"/>
                <w:kern w:val="0"/>
                <w:sz w:val="20"/>
                <w:szCs w:val="20"/>
                <w14:ligatures w14:val="none"/>
              </w:rPr>
            </w:pPr>
            <w:r w:rsidRPr="00303F0E">
              <w:rPr>
                <w:rFonts w:ascii="Arial" w:eastAsia="Times New Roman" w:hAnsi="Arial" w:cs="Arial"/>
                <w:color w:val="000000"/>
                <w:kern w:val="0"/>
                <w:sz w:val="20"/>
                <w:szCs w:val="20"/>
                <w14:ligatures w14:val="none"/>
              </w:rPr>
              <w:t>Networking at conferences</w:t>
            </w:r>
          </w:p>
        </w:tc>
        <w:tc>
          <w:tcPr>
            <w:tcW w:w="470" w:type="pct"/>
            <w:vAlign w:val="center"/>
            <w:hideMark/>
          </w:tcPr>
          <w:p w14:paraId="21597913"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196</w:t>
            </w:r>
          </w:p>
        </w:tc>
        <w:tc>
          <w:tcPr>
            <w:tcW w:w="396" w:type="pct"/>
            <w:vAlign w:val="center"/>
            <w:hideMark/>
          </w:tcPr>
          <w:p w14:paraId="0086A3B3"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84</w:t>
            </w:r>
          </w:p>
        </w:tc>
        <w:tc>
          <w:tcPr>
            <w:tcW w:w="320" w:type="pct"/>
            <w:vAlign w:val="center"/>
          </w:tcPr>
          <w:p w14:paraId="456827D4" w14:textId="4CAEE436" w:rsidR="0021266D" w:rsidRPr="004A7E7B" w:rsidRDefault="0021266D" w:rsidP="0021266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186</w:t>
            </w:r>
          </w:p>
        </w:tc>
      </w:tr>
      <w:tr w:rsidR="0021266D" w:rsidRPr="00303F0E" w14:paraId="4EBC598A" w14:textId="47CCBF24" w:rsidTr="0021266D">
        <w:trPr>
          <w:trHeight w:val="20"/>
        </w:trPr>
        <w:tc>
          <w:tcPr>
            <w:tcW w:w="360" w:type="pct"/>
            <w:vAlign w:val="center"/>
            <w:hideMark/>
          </w:tcPr>
          <w:p w14:paraId="434D30F6"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2.3</w:t>
            </w:r>
          </w:p>
        </w:tc>
        <w:tc>
          <w:tcPr>
            <w:tcW w:w="242" w:type="pct"/>
            <w:vAlign w:val="center"/>
            <w:hideMark/>
          </w:tcPr>
          <w:p w14:paraId="035C12D4"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July 2024</w:t>
            </w:r>
          </w:p>
        </w:tc>
        <w:tc>
          <w:tcPr>
            <w:tcW w:w="453" w:type="pct"/>
            <w:vAlign w:val="center"/>
            <w:hideMark/>
          </w:tcPr>
          <w:p w14:paraId="7E4B1119" w14:textId="7591F160" w:rsidR="0021266D" w:rsidRPr="004A7E7B" w:rsidRDefault="0021266D" w:rsidP="00303F0E">
            <w:pPr>
              <w:rPr>
                <w:rFonts w:ascii="Arial" w:eastAsia="Times New Roman" w:hAnsi="Arial" w:cs="Arial"/>
                <w:kern w:val="0"/>
                <w:sz w:val="20"/>
                <w:szCs w:val="20"/>
                <w14:ligatures w14:val="none"/>
              </w:rPr>
            </w:pPr>
            <w:r w:rsidRPr="00D0772E">
              <w:rPr>
                <w:rFonts w:ascii="Arial" w:eastAsia="Times New Roman" w:hAnsi="Arial" w:cs="Arial"/>
                <w:kern w:val="0"/>
                <w:sz w:val="20"/>
                <w:szCs w:val="20"/>
                <w14:ligatures w14:val="none"/>
              </w:rPr>
              <w:t>Know Your Worth: Mastering the Art of Salary Negotiation</w:t>
            </w:r>
          </w:p>
          <w:p w14:paraId="20DBF43B" w14:textId="1D686F7F" w:rsidR="0021266D" w:rsidRPr="004A7E7B" w:rsidRDefault="0021266D" w:rsidP="00303F0E">
            <w:pPr>
              <w:rPr>
                <w:rFonts w:ascii="Arial" w:eastAsia="Times New Roman" w:hAnsi="Arial" w:cs="Arial"/>
                <w:kern w:val="0"/>
                <w:sz w:val="20"/>
                <w:szCs w:val="20"/>
                <w14:ligatures w14:val="none"/>
              </w:rPr>
            </w:pPr>
          </w:p>
        </w:tc>
        <w:tc>
          <w:tcPr>
            <w:tcW w:w="1040" w:type="pct"/>
          </w:tcPr>
          <w:p w14:paraId="290629A8" w14:textId="24D9FD29" w:rsidR="0021266D" w:rsidRPr="009E3E13" w:rsidRDefault="0021266D" w:rsidP="009E3E13">
            <w:p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[Blinded]</w:t>
            </w:r>
          </w:p>
        </w:tc>
        <w:tc>
          <w:tcPr>
            <w:tcW w:w="1720" w:type="pct"/>
            <w:vAlign w:val="center"/>
            <w:hideMark/>
          </w:tcPr>
          <w:p w14:paraId="3135308F" w14:textId="565C2BB9" w:rsidR="0021266D" w:rsidRPr="00303F0E" w:rsidRDefault="0021266D" w:rsidP="00303F0E">
            <w:pPr>
              <w:pStyle w:val="ListParagraph"/>
              <w:numPr>
                <w:ilvl w:val="0"/>
                <w:numId w:val="8"/>
              </w:numPr>
              <w:textAlignment w:val="baseline"/>
              <w:rPr>
                <w:rFonts w:ascii="Arial" w:eastAsia="Times New Roman" w:hAnsi="Arial" w:cs="Arial"/>
                <w:color w:val="353432"/>
                <w:kern w:val="0"/>
                <w:sz w:val="20"/>
                <w:szCs w:val="20"/>
                <w14:ligatures w14:val="none"/>
              </w:rPr>
            </w:pPr>
            <w:r w:rsidRPr="00303F0E">
              <w:rPr>
                <w:rFonts w:ascii="Arial" w:eastAsia="Times New Roman" w:hAnsi="Arial" w:cs="Arial"/>
                <w:color w:val="000000"/>
                <w:kern w:val="0"/>
                <w:sz w:val="20"/>
                <w:szCs w:val="20"/>
                <w14:ligatures w14:val="none"/>
              </w:rPr>
              <w:t>Articulate the Value of Effective Salary Negotiation</w:t>
            </w:r>
          </w:p>
          <w:p w14:paraId="6094AF78" w14:textId="77777777" w:rsidR="0021266D" w:rsidRPr="00303F0E" w:rsidRDefault="0021266D" w:rsidP="00303F0E">
            <w:pPr>
              <w:pStyle w:val="ListParagraph"/>
              <w:numPr>
                <w:ilvl w:val="0"/>
                <w:numId w:val="8"/>
              </w:numPr>
              <w:textAlignment w:val="baseline"/>
              <w:rPr>
                <w:rFonts w:ascii="Arial" w:eastAsia="Times New Roman" w:hAnsi="Arial" w:cs="Arial"/>
                <w:color w:val="353432"/>
                <w:kern w:val="0"/>
                <w:sz w:val="20"/>
                <w:szCs w:val="20"/>
                <w14:ligatures w14:val="none"/>
              </w:rPr>
            </w:pPr>
            <w:r w:rsidRPr="00303F0E">
              <w:rPr>
                <w:rFonts w:ascii="Arial" w:eastAsia="Times New Roman" w:hAnsi="Arial" w:cs="Arial"/>
                <w:color w:val="000000"/>
                <w:kern w:val="0"/>
                <w:sz w:val="20"/>
                <w:szCs w:val="20"/>
                <w14:ligatures w14:val="none"/>
              </w:rPr>
              <w:t>Research and Analyze Librarian Salary Benchmarks</w:t>
            </w:r>
          </w:p>
          <w:p w14:paraId="431C8069" w14:textId="77777777" w:rsidR="0021266D" w:rsidRPr="00303F0E" w:rsidRDefault="0021266D" w:rsidP="00303F0E">
            <w:pPr>
              <w:pStyle w:val="ListParagraph"/>
              <w:numPr>
                <w:ilvl w:val="0"/>
                <w:numId w:val="8"/>
              </w:numPr>
              <w:textAlignment w:val="baseline"/>
              <w:rPr>
                <w:rFonts w:ascii="Arial" w:eastAsia="Times New Roman" w:hAnsi="Arial" w:cs="Arial"/>
                <w:color w:val="353432"/>
                <w:kern w:val="0"/>
                <w:sz w:val="20"/>
                <w:szCs w:val="20"/>
                <w14:ligatures w14:val="none"/>
              </w:rPr>
            </w:pPr>
            <w:r w:rsidRPr="00303F0E">
              <w:rPr>
                <w:rFonts w:ascii="Arial" w:eastAsia="Times New Roman" w:hAnsi="Arial" w:cs="Arial"/>
                <w:color w:val="000000"/>
                <w:kern w:val="0"/>
                <w:sz w:val="20"/>
                <w:szCs w:val="20"/>
                <w14:ligatures w14:val="none"/>
              </w:rPr>
              <w:t>Identify and Quantify Personal Skills and Achievements</w:t>
            </w:r>
          </w:p>
          <w:p w14:paraId="3777129D" w14:textId="77777777" w:rsidR="0021266D" w:rsidRPr="00303F0E" w:rsidRDefault="0021266D" w:rsidP="00303F0E">
            <w:pPr>
              <w:pStyle w:val="ListParagraph"/>
              <w:numPr>
                <w:ilvl w:val="0"/>
                <w:numId w:val="8"/>
              </w:numPr>
              <w:textAlignment w:val="baseline"/>
              <w:rPr>
                <w:rFonts w:ascii="Arial" w:eastAsia="Times New Roman" w:hAnsi="Arial" w:cs="Arial"/>
                <w:color w:val="353432"/>
                <w:kern w:val="0"/>
                <w:sz w:val="20"/>
                <w:szCs w:val="20"/>
                <w14:ligatures w14:val="none"/>
              </w:rPr>
            </w:pPr>
            <w:r w:rsidRPr="00303F0E">
              <w:rPr>
                <w:rFonts w:ascii="Arial" w:eastAsia="Times New Roman" w:hAnsi="Arial" w:cs="Arial"/>
                <w:color w:val="000000"/>
                <w:kern w:val="0"/>
                <w:sz w:val="20"/>
                <w:szCs w:val="20"/>
                <w14:ligatures w14:val="none"/>
              </w:rPr>
              <w:t>Develop a Negotiation Strategy and Communication Techniques</w:t>
            </w:r>
          </w:p>
          <w:p w14:paraId="6E11DC09" w14:textId="77777777" w:rsidR="0021266D" w:rsidRPr="00303F0E" w:rsidRDefault="0021266D" w:rsidP="00303F0E">
            <w:pPr>
              <w:pStyle w:val="ListParagraph"/>
              <w:numPr>
                <w:ilvl w:val="0"/>
                <w:numId w:val="8"/>
              </w:numPr>
              <w:textAlignment w:val="baseline"/>
              <w:rPr>
                <w:rFonts w:ascii="Arial" w:eastAsia="Times New Roman" w:hAnsi="Arial" w:cs="Arial"/>
                <w:color w:val="353432"/>
                <w:kern w:val="0"/>
                <w:sz w:val="20"/>
                <w:szCs w:val="20"/>
                <w14:ligatures w14:val="none"/>
              </w:rPr>
            </w:pPr>
            <w:r w:rsidRPr="00303F0E">
              <w:rPr>
                <w:rFonts w:ascii="Arial" w:eastAsia="Times New Roman" w:hAnsi="Arial" w:cs="Arial"/>
                <w:color w:val="000000"/>
                <w:kern w:val="0"/>
                <w:sz w:val="20"/>
                <w:szCs w:val="20"/>
                <w14:ligatures w14:val="none"/>
              </w:rPr>
              <w:t>Evaluate and Negotiate a Competitive Compensation Package</w:t>
            </w:r>
          </w:p>
          <w:p w14:paraId="3E333EA7" w14:textId="77777777" w:rsidR="0021266D" w:rsidRPr="00303F0E" w:rsidRDefault="0021266D" w:rsidP="00303F0E">
            <w:pPr>
              <w:pStyle w:val="ListParagraph"/>
              <w:numPr>
                <w:ilvl w:val="0"/>
                <w:numId w:val="8"/>
              </w:numPr>
              <w:textAlignment w:val="baseline"/>
              <w:rPr>
                <w:rFonts w:ascii="Arial" w:eastAsia="Times New Roman" w:hAnsi="Arial" w:cs="Arial"/>
                <w:color w:val="353432"/>
                <w:kern w:val="0"/>
                <w:sz w:val="20"/>
                <w:szCs w:val="20"/>
                <w14:ligatures w14:val="none"/>
              </w:rPr>
            </w:pPr>
            <w:r w:rsidRPr="00303F0E">
              <w:rPr>
                <w:rFonts w:ascii="Arial" w:eastAsia="Times New Roman" w:hAnsi="Arial" w:cs="Arial"/>
                <w:color w:val="000000"/>
                <w:kern w:val="0"/>
                <w:sz w:val="20"/>
                <w:szCs w:val="20"/>
                <w14:ligatures w14:val="none"/>
              </w:rPr>
              <w:t>Examine Student-focused Negotiation Tips</w:t>
            </w:r>
          </w:p>
          <w:p w14:paraId="4EF77066" w14:textId="77777777" w:rsidR="0021266D" w:rsidRPr="004A7E7B" w:rsidRDefault="0021266D" w:rsidP="00303F0E">
            <w:pPr>
              <w:shd w:val="clear" w:color="auto" w:fill="FFFFFF"/>
              <w:ind w:left="360"/>
              <w:rPr>
                <w:rFonts w:ascii="Arial" w:eastAsia="Times New Roman" w:hAnsi="Arial" w:cs="Arial"/>
                <w:kern w:val="0"/>
                <w:sz w:val="20"/>
                <w:szCs w:val="20"/>
                <w14:ligatures w14:val="none"/>
              </w:rPr>
            </w:pPr>
          </w:p>
        </w:tc>
        <w:tc>
          <w:tcPr>
            <w:tcW w:w="470" w:type="pct"/>
            <w:vAlign w:val="center"/>
            <w:hideMark/>
          </w:tcPr>
          <w:p w14:paraId="059FC9D5"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261</w:t>
            </w:r>
          </w:p>
        </w:tc>
        <w:tc>
          <w:tcPr>
            <w:tcW w:w="396" w:type="pct"/>
            <w:vAlign w:val="center"/>
            <w:hideMark/>
          </w:tcPr>
          <w:p w14:paraId="5E0E9C83" w14:textId="77777777" w:rsidR="0021266D" w:rsidRPr="004A7E7B" w:rsidRDefault="0021266D" w:rsidP="00303F0E">
            <w:pPr>
              <w:rPr>
                <w:rFonts w:ascii="Arial" w:eastAsia="Times New Roman" w:hAnsi="Arial" w:cs="Arial"/>
                <w:kern w:val="0"/>
                <w:sz w:val="20"/>
                <w:szCs w:val="20"/>
                <w14:ligatures w14:val="none"/>
              </w:rPr>
            </w:pPr>
            <w:r w:rsidRPr="004A7E7B">
              <w:rPr>
                <w:rFonts w:ascii="Arial" w:eastAsia="Times New Roman" w:hAnsi="Arial" w:cs="Arial"/>
                <w:color w:val="000000"/>
                <w:kern w:val="0"/>
                <w:sz w:val="20"/>
                <w:szCs w:val="20"/>
                <w14:ligatures w14:val="none"/>
              </w:rPr>
              <w:t>128</w:t>
            </w:r>
          </w:p>
          <w:p w14:paraId="719726E7" w14:textId="77777777" w:rsidR="0021266D" w:rsidRPr="004A7E7B" w:rsidRDefault="0021266D" w:rsidP="00303F0E">
            <w:pPr>
              <w:rPr>
                <w:rFonts w:ascii="Arial" w:eastAsia="Times New Roman" w:hAnsi="Arial" w:cs="Arial"/>
                <w:kern w:val="0"/>
                <w:sz w:val="20"/>
                <w:szCs w:val="20"/>
                <w14:ligatures w14:val="none"/>
              </w:rPr>
            </w:pPr>
          </w:p>
        </w:tc>
        <w:tc>
          <w:tcPr>
            <w:tcW w:w="320" w:type="pct"/>
            <w:vAlign w:val="center"/>
          </w:tcPr>
          <w:p w14:paraId="14CD9ABA" w14:textId="2188FDA8" w:rsidR="0021266D" w:rsidRPr="004A7E7B" w:rsidRDefault="0021266D" w:rsidP="0021266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136</w:t>
            </w:r>
          </w:p>
        </w:tc>
      </w:tr>
    </w:tbl>
    <w:p w14:paraId="39D23889" w14:textId="77777777" w:rsidR="004A7E7B" w:rsidRDefault="004A7E7B" w:rsidP="004A7E7B"/>
    <w:p w14:paraId="65D90C9C" w14:textId="412D3E97" w:rsidR="0021266D" w:rsidRDefault="00CA097C" w:rsidP="004A7E7B">
      <w:r w:rsidRPr="00CA097C">
        <w:t>TABLE 2: Themes, occurrences, definitions, and examples.</w:t>
      </w:r>
    </w:p>
    <w:tbl>
      <w:tblPr>
        <w:tblW w:w="136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5137"/>
        <w:gridCol w:w="5638"/>
        <w:gridCol w:w="1112"/>
      </w:tblGrid>
      <w:tr w:rsidR="00CA097C" w:rsidRPr="0064553D" w14:paraId="03E5F615" w14:textId="77777777" w:rsidTr="00CA097C">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BF90160" w14:textId="77777777" w:rsidR="00CA097C" w:rsidRPr="0064553D" w:rsidRDefault="00CA097C" w:rsidP="00923B41">
            <w:r w:rsidRPr="0064553D">
              <w:rPr>
                <w:b/>
                <w:bCs/>
              </w:rPr>
              <w:t>Theme</w:t>
            </w:r>
            <w:r w:rsidRPr="0064553D">
              <w:t> </w:t>
            </w:r>
          </w:p>
        </w:tc>
        <w:tc>
          <w:tcPr>
            <w:tcW w:w="5137" w:type="dxa"/>
            <w:tcBorders>
              <w:top w:val="single" w:sz="6" w:space="0" w:color="auto"/>
              <w:left w:val="single" w:sz="6" w:space="0" w:color="auto"/>
              <w:bottom w:val="single" w:sz="6" w:space="0" w:color="auto"/>
              <w:right w:val="single" w:sz="6" w:space="0" w:color="auto"/>
            </w:tcBorders>
            <w:shd w:val="clear" w:color="auto" w:fill="auto"/>
            <w:hideMark/>
          </w:tcPr>
          <w:p w14:paraId="1AB6C3C0" w14:textId="77777777" w:rsidR="00CA097C" w:rsidRPr="0064553D" w:rsidRDefault="00CA097C" w:rsidP="00923B41">
            <w:r w:rsidRPr="0064553D">
              <w:rPr>
                <w:b/>
                <w:bCs/>
              </w:rPr>
              <w:t>Definition</w:t>
            </w:r>
            <w:r w:rsidRPr="0064553D">
              <w:t> </w:t>
            </w:r>
          </w:p>
        </w:tc>
        <w:tc>
          <w:tcPr>
            <w:tcW w:w="5638" w:type="dxa"/>
            <w:tcBorders>
              <w:top w:val="single" w:sz="6" w:space="0" w:color="auto"/>
              <w:left w:val="single" w:sz="6" w:space="0" w:color="auto"/>
              <w:bottom w:val="single" w:sz="6" w:space="0" w:color="auto"/>
              <w:right w:val="single" w:sz="6" w:space="0" w:color="auto"/>
            </w:tcBorders>
            <w:shd w:val="clear" w:color="auto" w:fill="auto"/>
            <w:hideMark/>
          </w:tcPr>
          <w:p w14:paraId="70806A99" w14:textId="77777777" w:rsidR="00CA097C" w:rsidRPr="0064553D" w:rsidRDefault="00CA097C" w:rsidP="00923B41">
            <w:r w:rsidRPr="0064553D">
              <w:rPr>
                <w:b/>
                <w:bCs/>
              </w:rPr>
              <w:t>Attendee Reflection</w:t>
            </w:r>
            <w:r w:rsidRPr="0064553D">
              <w:t> </w:t>
            </w:r>
          </w:p>
        </w:tc>
        <w:tc>
          <w:tcPr>
            <w:tcW w:w="1112" w:type="dxa"/>
            <w:tcBorders>
              <w:top w:val="single" w:sz="6" w:space="0" w:color="auto"/>
              <w:left w:val="single" w:sz="6" w:space="0" w:color="auto"/>
              <w:bottom w:val="single" w:sz="6" w:space="0" w:color="auto"/>
              <w:right w:val="single" w:sz="6" w:space="0" w:color="auto"/>
            </w:tcBorders>
            <w:shd w:val="clear" w:color="auto" w:fill="auto"/>
            <w:hideMark/>
          </w:tcPr>
          <w:p w14:paraId="09866539" w14:textId="77777777" w:rsidR="00CA097C" w:rsidRPr="0064553D" w:rsidRDefault="00CA097C" w:rsidP="00923B41">
            <w:r w:rsidRPr="0064553D">
              <w:rPr>
                <w:b/>
                <w:bCs/>
              </w:rPr>
              <w:t>Frequency</w:t>
            </w:r>
            <w:r w:rsidRPr="0064553D">
              <w:t> </w:t>
            </w:r>
          </w:p>
        </w:tc>
      </w:tr>
      <w:tr w:rsidR="00CA097C" w:rsidRPr="0064553D" w14:paraId="5A92F2E8" w14:textId="77777777" w:rsidTr="00CA097C">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81E23DA" w14:textId="77777777" w:rsidR="00CA097C" w:rsidRPr="0064553D" w:rsidRDefault="00CA097C" w:rsidP="00923B41">
            <w:r w:rsidRPr="0064553D">
              <w:rPr>
                <w:b/>
                <w:bCs/>
              </w:rPr>
              <w:t>Practical Tips</w:t>
            </w:r>
            <w:r w:rsidRPr="0064553D">
              <w:t> </w:t>
            </w:r>
          </w:p>
        </w:tc>
        <w:tc>
          <w:tcPr>
            <w:tcW w:w="5137" w:type="dxa"/>
            <w:tcBorders>
              <w:top w:val="single" w:sz="6" w:space="0" w:color="auto"/>
              <w:left w:val="single" w:sz="6" w:space="0" w:color="auto"/>
              <w:bottom w:val="single" w:sz="6" w:space="0" w:color="auto"/>
              <w:right w:val="single" w:sz="6" w:space="0" w:color="auto"/>
            </w:tcBorders>
            <w:shd w:val="clear" w:color="auto" w:fill="auto"/>
            <w:hideMark/>
          </w:tcPr>
          <w:p w14:paraId="275219B8" w14:textId="77777777" w:rsidR="00CA097C" w:rsidRPr="0064553D" w:rsidRDefault="00CA097C" w:rsidP="00923B41">
            <w:r w:rsidRPr="0064553D">
              <w:t>Concrete, actionable advice or guidance that attendees can readily implement in their own professional lives. This includes step-by-step instructions, how-to guides, and clear takeaways that translate into real-world application. </w:t>
            </w:r>
          </w:p>
        </w:tc>
        <w:tc>
          <w:tcPr>
            <w:tcW w:w="5638" w:type="dxa"/>
            <w:tcBorders>
              <w:top w:val="single" w:sz="6" w:space="0" w:color="auto"/>
              <w:left w:val="single" w:sz="6" w:space="0" w:color="auto"/>
              <w:bottom w:val="single" w:sz="6" w:space="0" w:color="auto"/>
              <w:right w:val="single" w:sz="6" w:space="0" w:color="auto"/>
            </w:tcBorders>
            <w:shd w:val="clear" w:color="auto" w:fill="auto"/>
            <w:hideMark/>
          </w:tcPr>
          <w:p w14:paraId="13B1722D" w14:textId="77777777" w:rsidR="00CA097C" w:rsidRPr="0064553D" w:rsidRDefault="00CA097C" w:rsidP="00923B41">
            <w:r w:rsidRPr="0064553D">
              <w:t>“It broke down the different steps of research and publishing, what is and isn't research, and how to go about writing a manuscript. It's such a daunting process that I feel like it's difficult to know where to start, and this webinar at least told me where to start. I also liked the tip about not including abstracts in poster presentations.” </w:t>
            </w:r>
          </w:p>
        </w:tc>
        <w:tc>
          <w:tcPr>
            <w:tcW w:w="1112" w:type="dxa"/>
            <w:tcBorders>
              <w:top w:val="single" w:sz="6" w:space="0" w:color="auto"/>
              <w:left w:val="single" w:sz="6" w:space="0" w:color="auto"/>
              <w:bottom w:val="single" w:sz="6" w:space="0" w:color="auto"/>
              <w:right w:val="single" w:sz="6" w:space="0" w:color="auto"/>
            </w:tcBorders>
            <w:shd w:val="clear" w:color="auto" w:fill="auto"/>
            <w:hideMark/>
          </w:tcPr>
          <w:p w14:paraId="1975E305" w14:textId="77777777" w:rsidR="00CA097C" w:rsidRPr="0064553D" w:rsidRDefault="00CA097C" w:rsidP="00923B41">
            <w:r w:rsidRPr="0064553D">
              <w:t>30 </w:t>
            </w:r>
          </w:p>
        </w:tc>
      </w:tr>
      <w:tr w:rsidR="00CA097C" w:rsidRPr="0064553D" w14:paraId="6B57FED4" w14:textId="77777777" w:rsidTr="00CA097C">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27DA20B" w14:textId="77777777" w:rsidR="00CA097C" w:rsidRPr="0064553D" w:rsidRDefault="00CA097C" w:rsidP="00923B41">
            <w:r w:rsidRPr="0064553D">
              <w:rPr>
                <w:b/>
                <w:bCs/>
              </w:rPr>
              <w:lastRenderedPageBreak/>
              <w:t>Resources</w:t>
            </w:r>
            <w:r w:rsidRPr="0064553D">
              <w:t> </w:t>
            </w:r>
          </w:p>
        </w:tc>
        <w:tc>
          <w:tcPr>
            <w:tcW w:w="5137" w:type="dxa"/>
            <w:tcBorders>
              <w:top w:val="single" w:sz="6" w:space="0" w:color="auto"/>
              <w:left w:val="single" w:sz="6" w:space="0" w:color="auto"/>
              <w:bottom w:val="single" w:sz="6" w:space="0" w:color="auto"/>
              <w:right w:val="single" w:sz="6" w:space="0" w:color="auto"/>
            </w:tcBorders>
            <w:shd w:val="clear" w:color="auto" w:fill="auto"/>
            <w:hideMark/>
          </w:tcPr>
          <w:p w14:paraId="38BE7230" w14:textId="77777777" w:rsidR="00CA097C" w:rsidRPr="0064553D" w:rsidRDefault="00CA097C" w:rsidP="00923B41">
            <w:r w:rsidRPr="0064553D">
              <w:t>Supplementary materials provided to enhance learning and support further exploration of the topic. This includes presentation slides, handouts, curated lists of links, and relevant bibliographic references. </w:t>
            </w:r>
          </w:p>
        </w:tc>
        <w:tc>
          <w:tcPr>
            <w:tcW w:w="5638" w:type="dxa"/>
            <w:tcBorders>
              <w:top w:val="single" w:sz="6" w:space="0" w:color="auto"/>
              <w:left w:val="single" w:sz="6" w:space="0" w:color="auto"/>
              <w:bottom w:val="single" w:sz="6" w:space="0" w:color="auto"/>
              <w:right w:val="single" w:sz="6" w:space="0" w:color="auto"/>
            </w:tcBorders>
            <w:shd w:val="clear" w:color="auto" w:fill="auto"/>
            <w:hideMark/>
          </w:tcPr>
          <w:p w14:paraId="7D2F6E61" w14:textId="77777777" w:rsidR="00CA097C" w:rsidRPr="0064553D" w:rsidRDefault="00CA097C" w:rsidP="00923B41">
            <w:r w:rsidRPr="0064553D">
              <w:t>“Information on external websites to further research.” </w:t>
            </w:r>
          </w:p>
        </w:tc>
        <w:tc>
          <w:tcPr>
            <w:tcW w:w="1112" w:type="dxa"/>
            <w:tcBorders>
              <w:top w:val="single" w:sz="6" w:space="0" w:color="auto"/>
              <w:left w:val="single" w:sz="6" w:space="0" w:color="auto"/>
              <w:bottom w:val="single" w:sz="6" w:space="0" w:color="auto"/>
              <w:right w:val="single" w:sz="6" w:space="0" w:color="auto"/>
            </w:tcBorders>
            <w:shd w:val="clear" w:color="auto" w:fill="auto"/>
            <w:hideMark/>
          </w:tcPr>
          <w:p w14:paraId="1FAA825D" w14:textId="77777777" w:rsidR="00CA097C" w:rsidRPr="0064553D" w:rsidRDefault="00CA097C" w:rsidP="00923B41">
            <w:r w:rsidRPr="0064553D">
              <w:t>27 </w:t>
            </w:r>
          </w:p>
        </w:tc>
      </w:tr>
      <w:tr w:rsidR="00CA097C" w:rsidRPr="0064553D" w14:paraId="6448B685" w14:textId="77777777" w:rsidTr="00CA097C">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9D7EB13" w14:textId="77777777" w:rsidR="00CA097C" w:rsidRPr="0064553D" w:rsidRDefault="00CA097C" w:rsidP="00923B41">
            <w:r w:rsidRPr="0064553D">
              <w:rPr>
                <w:b/>
                <w:bCs/>
              </w:rPr>
              <w:t>Encouragement</w:t>
            </w:r>
            <w:r w:rsidRPr="0064553D">
              <w:t> </w:t>
            </w:r>
          </w:p>
        </w:tc>
        <w:tc>
          <w:tcPr>
            <w:tcW w:w="5137" w:type="dxa"/>
            <w:tcBorders>
              <w:top w:val="single" w:sz="6" w:space="0" w:color="auto"/>
              <w:left w:val="single" w:sz="6" w:space="0" w:color="auto"/>
              <w:bottom w:val="single" w:sz="6" w:space="0" w:color="auto"/>
              <w:right w:val="single" w:sz="6" w:space="0" w:color="auto"/>
            </w:tcBorders>
            <w:shd w:val="clear" w:color="auto" w:fill="auto"/>
            <w:hideMark/>
          </w:tcPr>
          <w:p w14:paraId="5B620CA5" w14:textId="77777777" w:rsidR="00CA097C" w:rsidRPr="0064553D" w:rsidRDefault="00CA097C" w:rsidP="00923B41">
            <w:r w:rsidRPr="0064553D">
              <w:t>Expressions of support, motivation, and inspiration that instill confidence and empower attendees to pursue their professional goals. This includes messages that foster a sense of capability, resilience, and a belief in one's potential. </w:t>
            </w:r>
          </w:p>
        </w:tc>
        <w:tc>
          <w:tcPr>
            <w:tcW w:w="5638" w:type="dxa"/>
            <w:tcBorders>
              <w:top w:val="single" w:sz="6" w:space="0" w:color="auto"/>
              <w:left w:val="single" w:sz="6" w:space="0" w:color="auto"/>
              <w:bottom w:val="single" w:sz="6" w:space="0" w:color="auto"/>
              <w:right w:val="single" w:sz="6" w:space="0" w:color="auto"/>
            </w:tcBorders>
            <w:shd w:val="clear" w:color="auto" w:fill="auto"/>
            <w:hideMark/>
          </w:tcPr>
          <w:p w14:paraId="5B8C007D" w14:textId="77777777" w:rsidR="00CA097C" w:rsidRPr="0064553D" w:rsidRDefault="00CA097C" w:rsidP="00923B41">
            <w:r w:rsidRPr="0064553D">
              <w:t xml:space="preserve">“There was a lot of useful information here! If I had to pick just one item, I would say the empowerment that comes along with understanding a salary negotiation as a conversation rather than a competition. Once you </w:t>
            </w:r>
            <w:proofErr w:type="gramStart"/>
            <w:r w:rsidRPr="0064553D">
              <w:t>are able to</w:t>
            </w:r>
            <w:proofErr w:type="gramEnd"/>
            <w:r w:rsidRPr="0064553D">
              <w:t xml:space="preserve"> let go of this competitive aspect, you understand that there is no downside to advocating for yourself in a professional and respectful manner.” </w:t>
            </w:r>
          </w:p>
        </w:tc>
        <w:tc>
          <w:tcPr>
            <w:tcW w:w="1112" w:type="dxa"/>
            <w:tcBorders>
              <w:top w:val="single" w:sz="6" w:space="0" w:color="auto"/>
              <w:left w:val="single" w:sz="6" w:space="0" w:color="auto"/>
              <w:bottom w:val="single" w:sz="6" w:space="0" w:color="auto"/>
              <w:right w:val="single" w:sz="6" w:space="0" w:color="auto"/>
            </w:tcBorders>
            <w:shd w:val="clear" w:color="auto" w:fill="auto"/>
            <w:hideMark/>
          </w:tcPr>
          <w:p w14:paraId="24FBA07E" w14:textId="77777777" w:rsidR="00CA097C" w:rsidRPr="0064553D" w:rsidRDefault="00CA097C" w:rsidP="00923B41">
            <w:r w:rsidRPr="0064553D">
              <w:t>24 </w:t>
            </w:r>
          </w:p>
        </w:tc>
      </w:tr>
      <w:tr w:rsidR="00CA097C" w:rsidRPr="0064553D" w14:paraId="5A1132AA" w14:textId="77777777" w:rsidTr="00CA097C">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48F07B9" w14:textId="77777777" w:rsidR="00CA097C" w:rsidRPr="0064553D" w:rsidRDefault="00CA097C" w:rsidP="00923B41">
            <w:r w:rsidRPr="0064553D">
              <w:rPr>
                <w:b/>
                <w:bCs/>
              </w:rPr>
              <w:t>Real-life Experience</w:t>
            </w:r>
            <w:r w:rsidRPr="0064553D">
              <w:t> </w:t>
            </w:r>
          </w:p>
        </w:tc>
        <w:tc>
          <w:tcPr>
            <w:tcW w:w="5137" w:type="dxa"/>
            <w:tcBorders>
              <w:top w:val="single" w:sz="6" w:space="0" w:color="auto"/>
              <w:left w:val="single" w:sz="6" w:space="0" w:color="auto"/>
              <w:bottom w:val="single" w:sz="6" w:space="0" w:color="auto"/>
              <w:right w:val="single" w:sz="6" w:space="0" w:color="auto"/>
            </w:tcBorders>
            <w:shd w:val="clear" w:color="auto" w:fill="auto"/>
            <w:hideMark/>
          </w:tcPr>
          <w:p w14:paraId="0E282445" w14:textId="77777777" w:rsidR="00CA097C" w:rsidRPr="0064553D" w:rsidRDefault="00CA097C" w:rsidP="00923B41">
            <w:r w:rsidRPr="0064553D">
              <w:t>Instances where attendees specifically mentioned the value of learning from the presenters' personal experiences, anecdotes, or real-life examples. This includes references to insights gained from peers or colleagues sharing their professional journeys. </w:t>
            </w:r>
          </w:p>
        </w:tc>
        <w:tc>
          <w:tcPr>
            <w:tcW w:w="5638" w:type="dxa"/>
            <w:tcBorders>
              <w:top w:val="single" w:sz="6" w:space="0" w:color="auto"/>
              <w:left w:val="single" w:sz="6" w:space="0" w:color="auto"/>
              <w:bottom w:val="single" w:sz="6" w:space="0" w:color="auto"/>
              <w:right w:val="single" w:sz="6" w:space="0" w:color="auto"/>
            </w:tcBorders>
            <w:shd w:val="clear" w:color="auto" w:fill="auto"/>
            <w:hideMark/>
          </w:tcPr>
          <w:p w14:paraId="3504194C" w14:textId="77777777" w:rsidR="00CA097C" w:rsidRPr="0064553D" w:rsidRDefault="00CA097C" w:rsidP="00923B41">
            <w:r w:rsidRPr="0064553D">
              <w:t>“I liked how the presenters’ showed aspects of their career that focus from the beginning to the end, [it] felt very relatable and possible to integrate into my own work.” </w:t>
            </w:r>
          </w:p>
        </w:tc>
        <w:tc>
          <w:tcPr>
            <w:tcW w:w="1112" w:type="dxa"/>
            <w:tcBorders>
              <w:top w:val="single" w:sz="6" w:space="0" w:color="auto"/>
              <w:left w:val="single" w:sz="6" w:space="0" w:color="auto"/>
              <w:bottom w:val="single" w:sz="6" w:space="0" w:color="auto"/>
              <w:right w:val="single" w:sz="6" w:space="0" w:color="auto"/>
            </w:tcBorders>
            <w:shd w:val="clear" w:color="auto" w:fill="auto"/>
            <w:hideMark/>
          </w:tcPr>
          <w:p w14:paraId="794B5538" w14:textId="77777777" w:rsidR="00CA097C" w:rsidRPr="0064553D" w:rsidRDefault="00CA097C" w:rsidP="00923B41">
            <w:r w:rsidRPr="0064553D">
              <w:t>21 </w:t>
            </w:r>
          </w:p>
        </w:tc>
      </w:tr>
      <w:tr w:rsidR="00CA097C" w:rsidRPr="0064553D" w14:paraId="018B2290" w14:textId="77777777" w:rsidTr="00CA097C">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0D17E32" w14:textId="77777777" w:rsidR="00CA097C" w:rsidRPr="0064553D" w:rsidRDefault="00CA097C" w:rsidP="00923B41">
            <w:r w:rsidRPr="0064553D">
              <w:rPr>
                <w:b/>
                <w:bCs/>
              </w:rPr>
              <w:t>Career Trajectory</w:t>
            </w:r>
            <w:r w:rsidRPr="0064553D">
              <w:t> </w:t>
            </w:r>
          </w:p>
        </w:tc>
        <w:tc>
          <w:tcPr>
            <w:tcW w:w="5137" w:type="dxa"/>
            <w:tcBorders>
              <w:top w:val="single" w:sz="6" w:space="0" w:color="auto"/>
              <w:left w:val="single" w:sz="6" w:space="0" w:color="auto"/>
              <w:bottom w:val="single" w:sz="6" w:space="0" w:color="auto"/>
              <w:right w:val="single" w:sz="6" w:space="0" w:color="auto"/>
            </w:tcBorders>
            <w:shd w:val="clear" w:color="auto" w:fill="auto"/>
            <w:hideMark/>
          </w:tcPr>
          <w:p w14:paraId="5FE32738" w14:textId="77777777" w:rsidR="00CA097C" w:rsidRPr="0064553D" w:rsidRDefault="00CA097C" w:rsidP="00923B41">
            <w:r w:rsidRPr="0064553D">
              <w:t>Statements indicating that attendees intend to use the information gained to make informed decisions about their career paths, explore new opportunities, or take concrete steps to advance in their careers. This includes mentions of seeking mentorship, pursuing grants, or developing specific skills. </w:t>
            </w:r>
          </w:p>
        </w:tc>
        <w:tc>
          <w:tcPr>
            <w:tcW w:w="5638" w:type="dxa"/>
            <w:tcBorders>
              <w:top w:val="single" w:sz="6" w:space="0" w:color="auto"/>
              <w:left w:val="single" w:sz="6" w:space="0" w:color="auto"/>
              <w:bottom w:val="single" w:sz="6" w:space="0" w:color="auto"/>
              <w:right w:val="single" w:sz="6" w:space="0" w:color="auto"/>
            </w:tcBorders>
            <w:shd w:val="clear" w:color="auto" w:fill="auto"/>
            <w:hideMark/>
          </w:tcPr>
          <w:p w14:paraId="28646E21" w14:textId="77777777" w:rsidR="00CA097C" w:rsidRPr="0064553D" w:rsidRDefault="00CA097C" w:rsidP="00923B41">
            <w:r w:rsidRPr="0064553D">
              <w:t>“I'll be re-evaluating my professional track and making sure I am on target for my career goals” </w:t>
            </w:r>
          </w:p>
        </w:tc>
        <w:tc>
          <w:tcPr>
            <w:tcW w:w="1112" w:type="dxa"/>
            <w:tcBorders>
              <w:top w:val="single" w:sz="6" w:space="0" w:color="auto"/>
              <w:left w:val="single" w:sz="6" w:space="0" w:color="auto"/>
              <w:bottom w:val="single" w:sz="6" w:space="0" w:color="auto"/>
              <w:right w:val="single" w:sz="6" w:space="0" w:color="auto"/>
            </w:tcBorders>
            <w:shd w:val="clear" w:color="auto" w:fill="auto"/>
            <w:hideMark/>
          </w:tcPr>
          <w:p w14:paraId="2FE1B936" w14:textId="77777777" w:rsidR="00CA097C" w:rsidRPr="0064553D" w:rsidRDefault="00CA097C" w:rsidP="00923B41">
            <w:r w:rsidRPr="0064553D">
              <w:t>25 </w:t>
            </w:r>
          </w:p>
        </w:tc>
      </w:tr>
      <w:tr w:rsidR="00CA097C" w:rsidRPr="0064553D" w14:paraId="07422D76" w14:textId="77777777" w:rsidTr="00CA097C">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1B9AEE6" w14:textId="77777777" w:rsidR="00CA097C" w:rsidRPr="0064553D" w:rsidRDefault="00CA097C" w:rsidP="00923B41">
            <w:r w:rsidRPr="0064553D">
              <w:rPr>
                <w:b/>
                <w:bCs/>
              </w:rPr>
              <w:t>Sharing</w:t>
            </w:r>
            <w:r w:rsidRPr="0064553D">
              <w:t> </w:t>
            </w:r>
          </w:p>
        </w:tc>
        <w:tc>
          <w:tcPr>
            <w:tcW w:w="5137" w:type="dxa"/>
            <w:tcBorders>
              <w:top w:val="single" w:sz="6" w:space="0" w:color="auto"/>
              <w:left w:val="single" w:sz="6" w:space="0" w:color="auto"/>
              <w:bottom w:val="single" w:sz="6" w:space="0" w:color="auto"/>
              <w:right w:val="single" w:sz="6" w:space="0" w:color="auto"/>
            </w:tcBorders>
            <w:shd w:val="clear" w:color="auto" w:fill="auto"/>
            <w:hideMark/>
          </w:tcPr>
          <w:p w14:paraId="5B779D6C" w14:textId="77777777" w:rsidR="00CA097C" w:rsidRPr="0064553D" w:rsidRDefault="00CA097C" w:rsidP="00923B41">
            <w:r w:rsidRPr="0064553D">
              <w:t>Expressions of intent to share the information or resources from webinars with others, including colleagues, students, or co-workers. This demonstrates a desire to disseminate knowledge and contribute to the professional growth of their peers. </w:t>
            </w:r>
          </w:p>
        </w:tc>
        <w:tc>
          <w:tcPr>
            <w:tcW w:w="5638" w:type="dxa"/>
            <w:tcBorders>
              <w:top w:val="single" w:sz="6" w:space="0" w:color="auto"/>
              <w:left w:val="single" w:sz="6" w:space="0" w:color="auto"/>
              <w:bottom w:val="single" w:sz="6" w:space="0" w:color="auto"/>
              <w:right w:val="single" w:sz="6" w:space="0" w:color="auto"/>
            </w:tcBorders>
            <w:shd w:val="clear" w:color="auto" w:fill="auto"/>
            <w:hideMark/>
          </w:tcPr>
          <w:p w14:paraId="16DF24CF" w14:textId="77777777" w:rsidR="00CA097C" w:rsidRPr="0064553D" w:rsidRDefault="00CA097C" w:rsidP="00923B41">
            <w:r w:rsidRPr="0064553D">
              <w:t>“I hope to share some knowledge learned here with my peers so that they may benefit from it as well.” </w:t>
            </w:r>
          </w:p>
        </w:tc>
        <w:tc>
          <w:tcPr>
            <w:tcW w:w="1112" w:type="dxa"/>
            <w:tcBorders>
              <w:top w:val="single" w:sz="6" w:space="0" w:color="auto"/>
              <w:left w:val="single" w:sz="6" w:space="0" w:color="auto"/>
              <w:bottom w:val="single" w:sz="6" w:space="0" w:color="auto"/>
              <w:right w:val="single" w:sz="6" w:space="0" w:color="auto"/>
            </w:tcBorders>
            <w:shd w:val="clear" w:color="auto" w:fill="auto"/>
            <w:hideMark/>
          </w:tcPr>
          <w:p w14:paraId="0993D43F" w14:textId="77777777" w:rsidR="00CA097C" w:rsidRPr="0064553D" w:rsidRDefault="00CA097C" w:rsidP="00923B41">
            <w:r w:rsidRPr="0064553D">
              <w:t>9 </w:t>
            </w:r>
          </w:p>
        </w:tc>
      </w:tr>
      <w:tr w:rsidR="00CA097C" w:rsidRPr="0064553D" w14:paraId="729F64BD" w14:textId="77777777" w:rsidTr="00CA097C">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0D6C0AB" w14:textId="77777777" w:rsidR="00CA097C" w:rsidRPr="0064553D" w:rsidRDefault="00CA097C" w:rsidP="00923B41">
            <w:r w:rsidRPr="0064553D">
              <w:rPr>
                <w:b/>
                <w:bCs/>
              </w:rPr>
              <w:t>Complimentary</w:t>
            </w:r>
            <w:r w:rsidRPr="0064553D">
              <w:t> </w:t>
            </w:r>
          </w:p>
        </w:tc>
        <w:tc>
          <w:tcPr>
            <w:tcW w:w="5137" w:type="dxa"/>
            <w:tcBorders>
              <w:top w:val="single" w:sz="6" w:space="0" w:color="auto"/>
              <w:left w:val="single" w:sz="6" w:space="0" w:color="auto"/>
              <w:bottom w:val="single" w:sz="6" w:space="0" w:color="auto"/>
              <w:right w:val="single" w:sz="6" w:space="0" w:color="auto"/>
            </w:tcBorders>
            <w:shd w:val="clear" w:color="auto" w:fill="auto"/>
            <w:hideMark/>
          </w:tcPr>
          <w:p w14:paraId="19AA0776" w14:textId="77777777" w:rsidR="00CA097C" w:rsidRPr="0064553D" w:rsidRDefault="00CA097C" w:rsidP="00923B41">
            <w:r w:rsidRPr="0064553D">
              <w:t xml:space="preserve">General expressions of praise or positive feedback about the webinar without providing specific details or </w:t>
            </w:r>
            <w:r w:rsidRPr="0064553D">
              <w:lastRenderedPageBreak/>
              <w:t>insights. This includes vague compliments or overall endorsements of the session. </w:t>
            </w:r>
          </w:p>
        </w:tc>
        <w:tc>
          <w:tcPr>
            <w:tcW w:w="5638" w:type="dxa"/>
            <w:tcBorders>
              <w:top w:val="single" w:sz="6" w:space="0" w:color="auto"/>
              <w:left w:val="single" w:sz="6" w:space="0" w:color="auto"/>
              <w:bottom w:val="single" w:sz="6" w:space="0" w:color="auto"/>
              <w:right w:val="single" w:sz="6" w:space="0" w:color="auto"/>
            </w:tcBorders>
            <w:shd w:val="clear" w:color="auto" w:fill="auto"/>
            <w:hideMark/>
          </w:tcPr>
          <w:p w14:paraId="2AECFB35" w14:textId="77777777" w:rsidR="00CA097C" w:rsidRPr="0064553D" w:rsidRDefault="00CA097C" w:rsidP="00923B41">
            <w:r w:rsidRPr="0064553D">
              <w:lastRenderedPageBreak/>
              <w:t>“The info was so helpful!” </w:t>
            </w:r>
          </w:p>
        </w:tc>
        <w:tc>
          <w:tcPr>
            <w:tcW w:w="1112" w:type="dxa"/>
            <w:tcBorders>
              <w:top w:val="single" w:sz="6" w:space="0" w:color="auto"/>
              <w:left w:val="single" w:sz="6" w:space="0" w:color="auto"/>
              <w:bottom w:val="single" w:sz="6" w:space="0" w:color="auto"/>
              <w:right w:val="single" w:sz="6" w:space="0" w:color="auto"/>
            </w:tcBorders>
            <w:shd w:val="clear" w:color="auto" w:fill="auto"/>
            <w:hideMark/>
          </w:tcPr>
          <w:p w14:paraId="606DE2B7" w14:textId="77777777" w:rsidR="00CA097C" w:rsidRPr="0064553D" w:rsidRDefault="00CA097C" w:rsidP="00923B41">
            <w:r w:rsidRPr="0064553D">
              <w:t>7 </w:t>
            </w:r>
          </w:p>
        </w:tc>
      </w:tr>
      <w:tr w:rsidR="00CA097C" w:rsidRPr="0064553D" w14:paraId="023E149B" w14:textId="77777777" w:rsidTr="00CA097C">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7E893D4" w14:textId="77777777" w:rsidR="00CA097C" w:rsidRPr="0064553D" w:rsidRDefault="00CA097C" w:rsidP="00923B41">
            <w:r w:rsidRPr="0064553D">
              <w:rPr>
                <w:b/>
                <w:bCs/>
              </w:rPr>
              <w:t>Ambiguous</w:t>
            </w:r>
            <w:r w:rsidRPr="0064553D">
              <w:t> </w:t>
            </w:r>
          </w:p>
        </w:tc>
        <w:tc>
          <w:tcPr>
            <w:tcW w:w="5137" w:type="dxa"/>
            <w:tcBorders>
              <w:top w:val="single" w:sz="6" w:space="0" w:color="auto"/>
              <w:left w:val="single" w:sz="6" w:space="0" w:color="auto"/>
              <w:bottom w:val="single" w:sz="6" w:space="0" w:color="auto"/>
              <w:right w:val="single" w:sz="6" w:space="0" w:color="auto"/>
            </w:tcBorders>
            <w:shd w:val="clear" w:color="auto" w:fill="auto"/>
            <w:hideMark/>
          </w:tcPr>
          <w:p w14:paraId="607C1EE1" w14:textId="77777777" w:rsidR="00CA097C" w:rsidRPr="0064553D" w:rsidRDefault="00CA097C" w:rsidP="00923B41">
            <w:r w:rsidRPr="0064553D">
              <w:t>Responses that merely reiterate the webinar content, title, or description without offering any further explanation, elaboration, or personal reflection. These responses lack specific details or insights into how the information was perceived or applied. </w:t>
            </w:r>
          </w:p>
        </w:tc>
        <w:tc>
          <w:tcPr>
            <w:tcW w:w="5638" w:type="dxa"/>
            <w:tcBorders>
              <w:top w:val="single" w:sz="6" w:space="0" w:color="auto"/>
              <w:left w:val="single" w:sz="6" w:space="0" w:color="auto"/>
              <w:bottom w:val="single" w:sz="6" w:space="0" w:color="auto"/>
              <w:right w:val="single" w:sz="6" w:space="0" w:color="auto"/>
            </w:tcBorders>
            <w:shd w:val="clear" w:color="auto" w:fill="auto"/>
            <w:hideMark/>
          </w:tcPr>
          <w:p w14:paraId="14B9890A" w14:textId="77777777" w:rsidR="00CA097C" w:rsidRPr="0064553D" w:rsidRDefault="00CA097C" w:rsidP="00923B41">
            <w:r w:rsidRPr="0064553D">
              <w:t>“Elevator speech.” </w:t>
            </w:r>
          </w:p>
        </w:tc>
        <w:tc>
          <w:tcPr>
            <w:tcW w:w="1112" w:type="dxa"/>
            <w:tcBorders>
              <w:top w:val="single" w:sz="6" w:space="0" w:color="auto"/>
              <w:left w:val="single" w:sz="6" w:space="0" w:color="auto"/>
              <w:bottom w:val="single" w:sz="6" w:space="0" w:color="auto"/>
              <w:right w:val="single" w:sz="6" w:space="0" w:color="auto"/>
            </w:tcBorders>
            <w:shd w:val="clear" w:color="auto" w:fill="auto"/>
            <w:hideMark/>
          </w:tcPr>
          <w:p w14:paraId="2CCAFC4E" w14:textId="77777777" w:rsidR="00CA097C" w:rsidRPr="0064553D" w:rsidRDefault="00CA097C" w:rsidP="00923B41">
            <w:r w:rsidRPr="0064553D">
              <w:t>4 </w:t>
            </w:r>
          </w:p>
        </w:tc>
      </w:tr>
    </w:tbl>
    <w:p w14:paraId="5250AC90" w14:textId="77777777" w:rsidR="00CA097C" w:rsidRDefault="00CA097C" w:rsidP="004A7E7B"/>
    <w:sectPr w:rsidR="00CA097C" w:rsidSect="004A7E7B">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C907" w14:textId="77777777" w:rsidR="002C41C4" w:rsidRDefault="002C41C4" w:rsidP="004909D3">
      <w:pPr>
        <w:spacing w:after="0" w:line="240" w:lineRule="auto"/>
      </w:pPr>
      <w:r>
        <w:separator/>
      </w:r>
    </w:p>
  </w:endnote>
  <w:endnote w:type="continuationSeparator" w:id="0">
    <w:p w14:paraId="4804EFFB" w14:textId="77777777" w:rsidR="002C41C4" w:rsidRDefault="002C41C4" w:rsidP="0049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1D39" w14:textId="77777777" w:rsidR="002C41C4" w:rsidRDefault="002C41C4" w:rsidP="004909D3">
      <w:pPr>
        <w:spacing w:after="0" w:line="240" w:lineRule="auto"/>
      </w:pPr>
      <w:r>
        <w:separator/>
      </w:r>
    </w:p>
  </w:footnote>
  <w:footnote w:type="continuationSeparator" w:id="0">
    <w:p w14:paraId="4D1CB3C2" w14:textId="77777777" w:rsidR="002C41C4" w:rsidRDefault="002C41C4" w:rsidP="00490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BBB"/>
    <w:multiLevelType w:val="multilevel"/>
    <w:tmpl w:val="4C18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C5B0F"/>
    <w:multiLevelType w:val="hybridMultilevel"/>
    <w:tmpl w:val="2CB482FC"/>
    <w:lvl w:ilvl="0" w:tplc="82BABA4C">
      <w:numFmt w:val="bullet"/>
      <w:lvlText w:val="·"/>
      <w:lvlJc w:val="left"/>
      <w:pPr>
        <w:ind w:left="360" w:hanging="360"/>
      </w:pPr>
      <w:rPr>
        <w:rFonts w:ascii="Arial" w:eastAsia="Times New Roman" w:hAnsi="Arial" w:cs="Arial" w:hint="default"/>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CD7E40"/>
    <w:multiLevelType w:val="hybridMultilevel"/>
    <w:tmpl w:val="45F2DB4C"/>
    <w:lvl w:ilvl="0" w:tplc="82BABA4C">
      <w:numFmt w:val="bullet"/>
      <w:lvlText w:val="·"/>
      <w:lvlJc w:val="left"/>
      <w:pPr>
        <w:ind w:left="360" w:hanging="360"/>
      </w:pPr>
      <w:rPr>
        <w:rFonts w:ascii="Arial" w:eastAsia="Times New Roman" w:hAnsi="Arial" w:cs="Arial" w:hint="default"/>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C918A0"/>
    <w:multiLevelType w:val="hybridMultilevel"/>
    <w:tmpl w:val="C388E0A0"/>
    <w:lvl w:ilvl="0" w:tplc="82BABA4C">
      <w:numFmt w:val="bullet"/>
      <w:lvlText w:val="·"/>
      <w:lvlJc w:val="left"/>
      <w:pPr>
        <w:ind w:left="1080" w:hanging="360"/>
      </w:pPr>
      <w:rPr>
        <w:rFonts w:ascii="Arial" w:eastAsia="Times New Roman" w:hAnsi="Arial" w:cs="Arial"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32245B"/>
    <w:multiLevelType w:val="hybridMultilevel"/>
    <w:tmpl w:val="8770696E"/>
    <w:lvl w:ilvl="0" w:tplc="82BABA4C">
      <w:numFmt w:val="bullet"/>
      <w:lvlText w:val="·"/>
      <w:lvlJc w:val="left"/>
      <w:pPr>
        <w:ind w:left="360" w:hanging="360"/>
      </w:pPr>
      <w:rPr>
        <w:rFonts w:ascii="Arial" w:eastAsia="Times New Roman" w:hAnsi="Arial" w:cs="Arial" w:hint="default"/>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816E7A"/>
    <w:multiLevelType w:val="hybridMultilevel"/>
    <w:tmpl w:val="0576F5B8"/>
    <w:lvl w:ilvl="0" w:tplc="82BABA4C">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5330C"/>
    <w:multiLevelType w:val="hybridMultilevel"/>
    <w:tmpl w:val="1736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D74D0"/>
    <w:multiLevelType w:val="multilevel"/>
    <w:tmpl w:val="31AC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D3239"/>
    <w:multiLevelType w:val="hybridMultilevel"/>
    <w:tmpl w:val="09147DD6"/>
    <w:lvl w:ilvl="0" w:tplc="82BABA4C">
      <w:numFmt w:val="bullet"/>
      <w:lvlText w:val="·"/>
      <w:lvlJc w:val="left"/>
      <w:pPr>
        <w:ind w:left="360" w:hanging="360"/>
      </w:pPr>
      <w:rPr>
        <w:rFonts w:ascii="Arial" w:eastAsia="Times New Roman" w:hAnsi="Arial" w:cs="Arial" w:hint="default"/>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2947786">
    <w:abstractNumId w:val="0"/>
  </w:num>
  <w:num w:numId="2" w16cid:durableId="2067407387">
    <w:abstractNumId w:val="7"/>
  </w:num>
  <w:num w:numId="3" w16cid:durableId="571545291">
    <w:abstractNumId w:val="6"/>
  </w:num>
  <w:num w:numId="4" w16cid:durableId="1510021538">
    <w:abstractNumId w:val="4"/>
  </w:num>
  <w:num w:numId="5" w16cid:durableId="1481574550">
    <w:abstractNumId w:val="3"/>
  </w:num>
  <w:num w:numId="6" w16cid:durableId="1342010083">
    <w:abstractNumId w:val="5"/>
  </w:num>
  <w:num w:numId="7" w16cid:durableId="224491371">
    <w:abstractNumId w:val="2"/>
  </w:num>
  <w:num w:numId="8" w16cid:durableId="556476992">
    <w:abstractNumId w:val="1"/>
  </w:num>
  <w:num w:numId="9" w16cid:durableId="1457262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7B"/>
    <w:rsid w:val="000D2566"/>
    <w:rsid w:val="001578A9"/>
    <w:rsid w:val="0016658A"/>
    <w:rsid w:val="0021266D"/>
    <w:rsid w:val="002C41C4"/>
    <w:rsid w:val="00303F0E"/>
    <w:rsid w:val="0038575F"/>
    <w:rsid w:val="004909D3"/>
    <w:rsid w:val="004A7E7B"/>
    <w:rsid w:val="006D2B4F"/>
    <w:rsid w:val="00721662"/>
    <w:rsid w:val="007712FF"/>
    <w:rsid w:val="007E2F2F"/>
    <w:rsid w:val="00923C4F"/>
    <w:rsid w:val="00990891"/>
    <w:rsid w:val="009B1A20"/>
    <w:rsid w:val="009E3E13"/>
    <w:rsid w:val="00A93A16"/>
    <w:rsid w:val="00B66CA1"/>
    <w:rsid w:val="00CA097C"/>
    <w:rsid w:val="00D0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F8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E7B"/>
    <w:rPr>
      <w:rFonts w:eastAsiaTheme="majorEastAsia" w:cstheme="majorBidi"/>
      <w:color w:val="272727" w:themeColor="text1" w:themeTint="D8"/>
    </w:rPr>
  </w:style>
  <w:style w:type="paragraph" w:styleId="Title">
    <w:name w:val="Title"/>
    <w:basedOn w:val="Normal"/>
    <w:next w:val="Normal"/>
    <w:link w:val="TitleChar"/>
    <w:uiPriority w:val="10"/>
    <w:qFormat/>
    <w:rsid w:val="004A7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E7B"/>
    <w:pPr>
      <w:spacing w:before="160"/>
      <w:jc w:val="center"/>
    </w:pPr>
    <w:rPr>
      <w:i/>
      <w:iCs/>
      <w:color w:val="404040" w:themeColor="text1" w:themeTint="BF"/>
    </w:rPr>
  </w:style>
  <w:style w:type="character" w:customStyle="1" w:styleId="QuoteChar">
    <w:name w:val="Quote Char"/>
    <w:basedOn w:val="DefaultParagraphFont"/>
    <w:link w:val="Quote"/>
    <w:uiPriority w:val="29"/>
    <w:rsid w:val="004A7E7B"/>
    <w:rPr>
      <w:i/>
      <w:iCs/>
      <w:color w:val="404040" w:themeColor="text1" w:themeTint="BF"/>
    </w:rPr>
  </w:style>
  <w:style w:type="paragraph" w:styleId="ListParagraph">
    <w:name w:val="List Paragraph"/>
    <w:basedOn w:val="Normal"/>
    <w:uiPriority w:val="34"/>
    <w:qFormat/>
    <w:rsid w:val="004A7E7B"/>
    <w:pPr>
      <w:ind w:left="720"/>
      <w:contextualSpacing/>
    </w:pPr>
  </w:style>
  <w:style w:type="character" w:styleId="IntenseEmphasis">
    <w:name w:val="Intense Emphasis"/>
    <w:basedOn w:val="DefaultParagraphFont"/>
    <w:uiPriority w:val="21"/>
    <w:qFormat/>
    <w:rsid w:val="004A7E7B"/>
    <w:rPr>
      <w:i/>
      <w:iCs/>
      <w:color w:val="0F4761" w:themeColor="accent1" w:themeShade="BF"/>
    </w:rPr>
  </w:style>
  <w:style w:type="paragraph" w:styleId="IntenseQuote">
    <w:name w:val="Intense Quote"/>
    <w:basedOn w:val="Normal"/>
    <w:next w:val="Normal"/>
    <w:link w:val="IntenseQuoteChar"/>
    <w:uiPriority w:val="30"/>
    <w:qFormat/>
    <w:rsid w:val="004A7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E7B"/>
    <w:rPr>
      <w:i/>
      <w:iCs/>
      <w:color w:val="0F4761" w:themeColor="accent1" w:themeShade="BF"/>
    </w:rPr>
  </w:style>
  <w:style w:type="character" w:styleId="IntenseReference">
    <w:name w:val="Intense Reference"/>
    <w:basedOn w:val="DefaultParagraphFont"/>
    <w:uiPriority w:val="32"/>
    <w:qFormat/>
    <w:rsid w:val="004A7E7B"/>
    <w:rPr>
      <w:b/>
      <w:bCs/>
      <w:smallCaps/>
      <w:color w:val="0F4761" w:themeColor="accent1" w:themeShade="BF"/>
      <w:spacing w:val="5"/>
    </w:rPr>
  </w:style>
  <w:style w:type="character" w:styleId="Hyperlink">
    <w:name w:val="Hyperlink"/>
    <w:basedOn w:val="DefaultParagraphFont"/>
    <w:uiPriority w:val="99"/>
    <w:unhideWhenUsed/>
    <w:rsid w:val="004A7E7B"/>
    <w:rPr>
      <w:color w:val="467886" w:themeColor="hyperlink"/>
      <w:u w:val="single"/>
    </w:rPr>
  </w:style>
  <w:style w:type="character" w:styleId="UnresolvedMention">
    <w:name w:val="Unresolved Mention"/>
    <w:basedOn w:val="DefaultParagraphFont"/>
    <w:uiPriority w:val="99"/>
    <w:semiHidden/>
    <w:unhideWhenUsed/>
    <w:rsid w:val="004A7E7B"/>
    <w:rPr>
      <w:color w:val="605E5C"/>
      <w:shd w:val="clear" w:color="auto" w:fill="E1DFDD"/>
    </w:rPr>
  </w:style>
  <w:style w:type="table" w:styleId="TableGrid">
    <w:name w:val="Table Grid"/>
    <w:basedOn w:val="TableNormal"/>
    <w:uiPriority w:val="39"/>
    <w:rsid w:val="004A7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772E"/>
    <w:rPr>
      <w:color w:val="96607D" w:themeColor="followedHyperlink"/>
      <w:u w:val="single"/>
    </w:rPr>
  </w:style>
  <w:style w:type="paragraph" w:styleId="Header">
    <w:name w:val="header"/>
    <w:basedOn w:val="Normal"/>
    <w:link w:val="HeaderChar"/>
    <w:uiPriority w:val="99"/>
    <w:unhideWhenUsed/>
    <w:rsid w:val="00490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9D3"/>
  </w:style>
  <w:style w:type="paragraph" w:styleId="Footer">
    <w:name w:val="footer"/>
    <w:basedOn w:val="Normal"/>
    <w:link w:val="FooterChar"/>
    <w:uiPriority w:val="99"/>
    <w:unhideWhenUsed/>
    <w:rsid w:val="00490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9661">
      <w:bodyDiv w:val="1"/>
      <w:marLeft w:val="0"/>
      <w:marRight w:val="0"/>
      <w:marTop w:val="0"/>
      <w:marBottom w:val="0"/>
      <w:divBdr>
        <w:top w:val="none" w:sz="0" w:space="0" w:color="auto"/>
        <w:left w:val="none" w:sz="0" w:space="0" w:color="auto"/>
        <w:bottom w:val="none" w:sz="0" w:space="0" w:color="auto"/>
        <w:right w:val="none" w:sz="0" w:space="0" w:color="auto"/>
      </w:divBdr>
    </w:div>
    <w:div w:id="297540213">
      <w:bodyDiv w:val="1"/>
      <w:marLeft w:val="0"/>
      <w:marRight w:val="0"/>
      <w:marTop w:val="0"/>
      <w:marBottom w:val="0"/>
      <w:divBdr>
        <w:top w:val="none" w:sz="0" w:space="0" w:color="auto"/>
        <w:left w:val="none" w:sz="0" w:space="0" w:color="auto"/>
        <w:bottom w:val="none" w:sz="0" w:space="0" w:color="auto"/>
        <w:right w:val="none" w:sz="0" w:space="0" w:color="auto"/>
      </w:divBdr>
    </w:div>
    <w:div w:id="500581779">
      <w:bodyDiv w:val="1"/>
      <w:marLeft w:val="0"/>
      <w:marRight w:val="0"/>
      <w:marTop w:val="0"/>
      <w:marBottom w:val="0"/>
      <w:divBdr>
        <w:top w:val="none" w:sz="0" w:space="0" w:color="auto"/>
        <w:left w:val="none" w:sz="0" w:space="0" w:color="auto"/>
        <w:bottom w:val="none" w:sz="0" w:space="0" w:color="auto"/>
        <w:right w:val="none" w:sz="0" w:space="0" w:color="auto"/>
      </w:divBdr>
    </w:div>
    <w:div w:id="121261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2025-02-17T17:16:00Z</dcterms:created>
  <dcterms:modified xsi:type="dcterms:W3CDTF">2025-02-17T17:16:00Z</dcterms:modified>
</cp:coreProperties>
</file>