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1D0FC" w14:textId="192ECE4B" w:rsidR="00166CFA" w:rsidRPr="003C21D7" w:rsidRDefault="00166CFA">
      <w:pPr>
        <w:rPr>
          <w:b/>
          <w:bCs/>
        </w:rPr>
      </w:pPr>
      <w:r w:rsidRPr="003C21D7">
        <w:rPr>
          <w:b/>
          <w:bCs/>
        </w:rPr>
        <w:t>Appendix B. List of PICO Questions</w:t>
      </w:r>
    </w:p>
    <w:tbl>
      <w:tblPr>
        <w:tblStyle w:val="TableGrid"/>
        <w:tblW w:w="12950" w:type="dxa"/>
        <w:tblLook w:val="04A0" w:firstRow="1" w:lastRow="0" w:firstColumn="1" w:lastColumn="0" w:noHBand="0" w:noVBand="1"/>
      </w:tblPr>
      <w:tblGrid>
        <w:gridCol w:w="1345"/>
        <w:gridCol w:w="8411"/>
        <w:gridCol w:w="1897"/>
        <w:gridCol w:w="1297"/>
      </w:tblGrid>
      <w:tr w:rsidR="001A01E3" w:rsidRPr="00EF0312" w14:paraId="6DE457C6" w14:textId="77777777" w:rsidTr="001A01E3">
        <w:trPr>
          <w:trHeight w:val="320"/>
        </w:trPr>
        <w:tc>
          <w:tcPr>
            <w:tcW w:w="1345" w:type="dxa"/>
          </w:tcPr>
          <w:p w14:paraId="02A6AFC0" w14:textId="72270966" w:rsidR="001A01E3" w:rsidRPr="00431C3C" w:rsidRDefault="001A01E3" w:rsidP="00431C3C">
            <w:pPr>
              <w:jc w:val="center"/>
              <w:rPr>
                <w:rFonts w:ascii="Aptos" w:eastAsia="Times New Roman" w:hAnsi="Aptos" w:cs="Times New Roman"/>
                <w:b/>
                <w:bCs/>
                <w:color w:val="000000"/>
                <w:kern w:val="0"/>
                <w14:ligatures w14:val="none"/>
              </w:rPr>
            </w:pPr>
            <w:r>
              <w:rPr>
                <w:rFonts w:ascii="Aptos" w:eastAsia="Times New Roman" w:hAnsi="Aptos" w:cs="Times New Roman"/>
                <w:b/>
                <w:bCs/>
                <w:color w:val="000000"/>
                <w:kern w:val="0"/>
                <w14:ligatures w14:val="none"/>
              </w:rPr>
              <w:t>Question number</w:t>
            </w:r>
          </w:p>
        </w:tc>
        <w:tc>
          <w:tcPr>
            <w:tcW w:w="8411" w:type="dxa"/>
            <w:noWrap/>
            <w:hideMark/>
          </w:tcPr>
          <w:p w14:paraId="68CE7324" w14:textId="5109DE6C" w:rsidR="001A01E3" w:rsidRPr="00431C3C" w:rsidRDefault="001A01E3" w:rsidP="00431C3C">
            <w:pPr>
              <w:jc w:val="center"/>
              <w:rPr>
                <w:rFonts w:ascii="Aptos" w:eastAsia="Times New Roman" w:hAnsi="Aptos" w:cs="Times New Roman"/>
                <w:b/>
                <w:bCs/>
                <w:color w:val="000000"/>
                <w:kern w:val="0"/>
                <w14:ligatures w14:val="none"/>
              </w:rPr>
            </w:pPr>
            <w:r w:rsidRPr="00431C3C">
              <w:rPr>
                <w:rFonts w:ascii="Aptos" w:eastAsia="Times New Roman" w:hAnsi="Aptos" w:cs="Times New Roman"/>
                <w:b/>
                <w:bCs/>
                <w:color w:val="000000"/>
                <w:kern w:val="0"/>
                <w14:ligatures w14:val="none"/>
              </w:rPr>
              <w:t>Question</w:t>
            </w:r>
          </w:p>
        </w:tc>
        <w:tc>
          <w:tcPr>
            <w:tcW w:w="1897" w:type="dxa"/>
            <w:noWrap/>
            <w:hideMark/>
          </w:tcPr>
          <w:p w14:paraId="53240864" w14:textId="19620F29" w:rsidR="001A01E3" w:rsidRPr="00431C3C" w:rsidRDefault="001A01E3" w:rsidP="00431C3C">
            <w:pPr>
              <w:jc w:val="center"/>
              <w:rPr>
                <w:rFonts w:ascii="Aptos" w:eastAsia="Times New Roman" w:hAnsi="Aptos" w:cs="Times New Roman"/>
                <w:b/>
                <w:bCs/>
                <w:color w:val="000000"/>
                <w:kern w:val="0"/>
                <w14:ligatures w14:val="none"/>
              </w:rPr>
            </w:pPr>
            <w:r w:rsidRPr="00EF0312">
              <w:rPr>
                <w:rFonts w:ascii="Aptos" w:eastAsia="Times New Roman" w:hAnsi="Aptos" w:cs="Times New Roman"/>
                <w:b/>
                <w:bCs/>
                <w:color w:val="000000"/>
                <w:kern w:val="0"/>
                <w14:ligatures w14:val="none"/>
              </w:rPr>
              <w:t>LLM</w:t>
            </w:r>
            <w:r w:rsidRPr="00431C3C">
              <w:rPr>
                <w:rFonts w:ascii="Aptos" w:eastAsia="Times New Roman" w:hAnsi="Aptos" w:cs="Times New Roman"/>
                <w:b/>
                <w:bCs/>
                <w:color w:val="000000"/>
                <w:kern w:val="0"/>
                <w14:ligatures w14:val="none"/>
              </w:rPr>
              <w:t xml:space="preserve"> question source</w:t>
            </w:r>
          </w:p>
        </w:tc>
        <w:tc>
          <w:tcPr>
            <w:tcW w:w="1297" w:type="dxa"/>
            <w:noWrap/>
            <w:hideMark/>
          </w:tcPr>
          <w:p w14:paraId="2862B5C7" w14:textId="77777777" w:rsidR="001A01E3" w:rsidRPr="00431C3C" w:rsidRDefault="001A01E3" w:rsidP="00431C3C">
            <w:pPr>
              <w:rPr>
                <w:rFonts w:ascii="Aptos" w:eastAsia="Times New Roman" w:hAnsi="Aptos" w:cs="Times New Roman"/>
                <w:b/>
                <w:bCs/>
                <w:color w:val="000000"/>
                <w:kern w:val="0"/>
                <w14:ligatures w14:val="none"/>
              </w:rPr>
            </w:pPr>
            <w:r w:rsidRPr="00431C3C">
              <w:rPr>
                <w:rFonts w:ascii="Aptos" w:eastAsia="Times New Roman" w:hAnsi="Aptos" w:cs="Times New Roman"/>
                <w:b/>
                <w:bCs/>
                <w:color w:val="000000"/>
                <w:kern w:val="0"/>
                <w14:ligatures w14:val="none"/>
              </w:rPr>
              <w:t>Question category</w:t>
            </w:r>
          </w:p>
        </w:tc>
      </w:tr>
      <w:tr w:rsidR="001A01E3" w:rsidRPr="00EF0312" w14:paraId="32339B0E" w14:textId="77777777" w:rsidTr="001A01E3">
        <w:trPr>
          <w:trHeight w:val="320"/>
        </w:trPr>
        <w:tc>
          <w:tcPr>
            <w:tcW w:w="1345" w:type="dxa"/>
          </w:tcPr>
          <w:p w14:paraId="4DD3ECD4" w14:textId="55507256"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1</w:t>
            </w:r>
          </w:p>
        </w:tc>
        <w:tc>
          <w:tcPr>
            <w:tcW w:w="8411" w:type="dxa"/>
            <w:noWrap/>
            <w:hideMark/>
          </w:tcPr>
          <w:p w14:paraId="125E1B64" w14:textId="6A8D67CC"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patients with type 2 diabetes and moderate renal impairment, does the use of SGLT2 inhibitors compared to DPP-4 inhibitors lead to a greater reduction in cardiovascular events?</w:t>
            </w:r>
          </w:p>
          <w:p w14:paraId="6C0847E1"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14BA73CF"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ChatGPT</w:t>
            </w:r>
          </w:p>
        </w:tc>
        <w:tc>
          <w:tcPr>
            <w:tcW w:w="1297" w:type="dxa"/>
            <w:noWrap/>
            <w:hideMark/>
          </w:tcPr>
          <w:p w14:paraId="4FF9836C"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Treatment</w:t>
            </w:r>
          </w:p>
        </w:tc>
      </w:tr>
      <w:tr w:rsidR="001A01E3" w:rsidRPr="00EF0312" w14:paraId="79A950F3" w14:textId="77777777" w:rsidTr="001A01E3">
        <w:trPr>
          <w:trHeight w:val="320"/>
        </w:trPr>
        <w:tc>
          <w:tcPr>
            <w:tcW w:w="1345" w:type="dxa"/>
          </w:tcPr>
          <w:p w14:paraId="151837D6" w14:textId="0A3F2D87"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2</w:t>
            </w:r>
          </w:p>
        </w:tc>
        <w:tc>
          <w:tcPr>
            <w:tcW w:w="8411" w:type="dxa"/>
            <w:noWrap/>
            <w:hideMark/>
          </w:tcPr>
          <w:p w14:paraId="1974089E" w14:textId="2C92C18E"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Among pregnant women in their first trimester, how does maternal obesity, compared to normal maternal weight, affect the risk of developing gestational diabetes?</w:t>
            </w:r>
          </w:p>
          <w:p w14:paraId="00D0333E"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4E4A8C1E"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ChatGPT</w:t>
            </w:r>
          </w:p>
        </w:tc>
        <w:tc>
          <w:tcPr>
            <w:tcW w:w="1297" w:type="dxa"/>
            <w:noWrap/>
            <w:hideMark/>
          </w:tcPr>
          <w:p w14:paraId="1CEE3664" w14:textId="440FB97A"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Etiology</w:t>
            </w:r>
          </w:p>
        </w:tc>
      </w:tr>
      <w:tr w:rsidR="001A01E3" w:rsidRPr="00EF0312" w14:paraId="1900EB40" w14:textId="77777777" w:rsidTr="001A01E3">
        <w:trPr>
          <w:trHeight w:val="320"/>
        </w:trPr>
        <w:tc>
          <w:tcPr>
            <w:tcW w:w="1345" w:type="dxa"/>
          </w:tcPr>
          <w:p w14:paraId="0F131838" w14:textId="2DE35873"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3</w:t>
            </w:r>
          </w:p>
        </w:tc>
        <w:tc>
          <w:tcPr>
            <w:tcW w:w="8411" w:type="dxa"/>
            <w:noWrap/>
            <w:hideMark/>
          </w:tcPr>
          <w:p w14:paraId="7BCFC93C" w14:textId="1E0709E3"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 xml:space="preserve">In patients diagnosed with early-stage non-small cell lung cancer, how does the presence of </w:t>
            </w:r>
            <w:proofErr w:type="spellStart"/>
            <w:r w:rsidRPr="00431C3C">
              <w:rPr>
                <w:rFonts w:ascii="Aptos" w:eastAsia="Times New Roman" w:hAnsi="Aptos" w:cs="Times New Roman"/>
                <w:color w:val="000000"/>
                <w:kern w:val="0"/>
                <w14:ligatures w14:val="none"/>
              </w:rPr>
              <w:t>lymphovascular</w:t>
            </w:r>
            <w:proofErr w:type="spellEnd"/>
            <w:r w:rsidRPr="00431C3C">
              <w:rPr>
                <w:rFonts w:ascii="Aptos" w:eastAsia="Times New Roman" w:hAnsi="Aptos" w:cs="Times New Roman"/>
                <w:color w:val="000000"/>
                <w:kern w:val="0"/>
                <w14:ligatures w14:val="none"/>
              </w:rPr>
              <w:t xml:space="preserve"> invasion on pathology reports compare to its absence in predicting 5-year survival rates?</w:t>
            </w:r>
          </w:p>
          <w:p w14:paraId="6F936413"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04731907"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ChatGPT</w:t>
            </w:r>
          </w:p>
        </w:tc>
        <w:tc>
          <w:tcPr>
            <w:tcW w:w="1297" w:type="dxa"/>
            <w:noWrap/>
            <w:hideMark/>
          </w:tcPr>
          <w:p w14:paraId="4E93D937" w14:textId="2A4B62B3"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Prognosis</w:t>
            </w:r>
          </w:p>
        </w:tc>
      </w:tr>
      <w:tr w:rsidR="001A01E3" w:rsidRPr="00EF0312" w14:paraId="116C7966" w14:textId="77777777" w:rsidTr="001A01E3">
        <w:trPr>
          <w:trHeight w:val="320"/>
        </w:trPr>
        <w:tc>
          <w:tcPr>
            <w:tcW w:w="1345" w:type="dxa"/>
          </w:tcPr>
          <w:p w14:paraId="2DEC00C5" w14:textId="5EA07694"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4</w:t>
            </w:r>
          </w:p>
        </w:tc>
        <w:tc>
          <w:tcPr>
            <w:tcW w:w="8411" w:type="dxa"/>
            <w:noWrap/>
            <w:hideMark/>
          </w:tcPr>
          <w:p w14:paraId="47510AE4" w14:textId="6E4D7E1D"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patients with acute myocardial infarction, does a percutaneous coronary intervention (PCI) strategy compared to a conservative medical management strategy improve long-term survival?</w:t>
            </w:r>
          </w:p>
          <w:p w14:paraId="534DA8AD"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654CD80D"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Google Gemini</w:t>
            </w:r>
          </w:p>
        </w:tc>
        <w:tc>
          <w:tcPr>
            <w:tcW w:w="1297" w:type="dxa"/>
            <w:noWrap/>
            <w:hideMark/>
          </w:tcPr>
          <w:p w14:paraId="50095771"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Treatment</w:t>
            </w:r>
          </w:p>
        </w:tc>
      </w:tr>
      <w:tr w:rsidR="001A01E3" w:rsidRPr="00EF0312" w14:paraId="32D40ABE" w14:textId="77777777" w:rsidTr="001A01E3">
        <w:trPr>
          <w:trHeight w:val="320"/>
        </w:trPr>
        <w:tc>
          <w:tcPr>
            <w:tcW w:w="1345" w:type="dxa"/>
          </w:tcPr>
          <w:p w14:paraId="27393F3C" w14:textId="4CF1F497"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5</w:t>
            </w:r>
          </w:p>
        </w:tc>
        <w:tc>
          <w:tcPr>
            <w:tcW w:w="8411" w:type="dxa"/>
            <w:noWrap/>
            <w:hideMark/>
          </w:tcPr>
          <w:p w14:paraId="3C23DED5" w14:textId="3C1FB395"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adult patients with recurrent urinary tract infections (UTIs), does a history of previous antibiotic use increase the risk of developing antibiotic-resistant UTIs?</w:t>
            </w:r>
          </w:p>
          <w:p w14:paraId="0979EE63"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25BB0583"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Google Gemini</w:t>
            </w:r>
          </w:p>
        </w:tc>
        <w:tc>
          <w:tcPr>
            <w:tcW w:w="1297" w:type="dxa"/>
            <w:noWrap/>
            <w:hideMark/>
          </w:tcPr>
          <w:p w14:paraId="12CF3940" w14:textId="29163DA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Etiology</w:t>
            </w:r>
          </w:p>
        </w:tc>
      </w:tr>
      <w:tr w:rsidR="001A01E3" w:rsidRPr="00EF0312" w14:paraId="7DE796CA" w14:textId="77777777" w:rsidTr="001A01E3">
        <w:trPr>
          <w:trHeight w:val="320"/>
        </w:trPr>
        <w:tc>
          <w:tcPr>
            <w:tcW w:w="1345" w:type="dxa"/>
          </w:tcPr>
          <w:p w14:paraId="116B96B9" w14:textId="7941231D"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6</w:t>
            </w:r>
          </w:p>
        </w:tc>
        <w:tc>
          <w:tcPr>
            <w:tcW w:w="8411" w:type="dxa"/>
            <w:noWrap/>
            <w:hideMark/>
          </w:tcPr>
          <w:p w14:paraId="7352E446" w14:textId="57EBF039"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What is the long-term prognosis of a patient with newly diagnosed idiopathic pulmonary fibrosis (IPF) and a forced vital capacity (FVC) of 50% predicted?</w:t>
            </w:r>
          </w:p>
          <w:p w14:paraId="0BACE13C"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024975D8"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Google Gemini</w:t>
            </w:r>
          </w:p>
        </w:tc>
        <w:tc>
          <w:tcPr>
            <w:tcW w:w="1297" w:type="dxa"/>
            <w:noWrap/>
            <w:hideMark/>
          </w:tcPr>
          <w:p w14:paraId="573A980A" w14:textId="5547F43A"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Prognosis</w:t>
            </w:r>
          </w:p>
        </w:tc>
      </w:tr>
      <w:tr w:rsidR="001A01E3" w:rsidRPr="00EF0312" w14:paraId="24A9AAEF" w14:textId="77777777" w:rsidTr="001A01E3">
        <w:trPr>
          <w:trHeight w:val="320"/>
        </w:trPr>
        <w:tc>
          <w:tcPr>
            <w:tcW w:w="1345" w:type="dxa"/>
          </w:tcPr>
          <w:p w14:paraId="59A54EC5" w14:textId="52ECFCB4"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7</w:t>
            </w:r>
          </w:p>
        </w:tc>
        <w:tc>
          <w:tcPr>
            <w:tcW w:w="8411" w:type="dxa"/>
            <w:noWrap/>
            <w:hideMark/>
          </w:tcPr>
          <w:p w14:paraId="47B61BD8" w14:textId="185D9838"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patients with chronic lower back pain, how effective is physical therapy compared to corticosteroid injections in reducing pain and improving mobility?</w:t>
            </w:r>
          </w:p>
          <w:p w14:paraId="3890CE73"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264CF06A"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Microsoft Copilot</w:t>
            </w:r>
          </w:p>
        </w:tc>
        <w:tc>
          <w:tcPr>
            <w:tcW w:w="1297" w:type="dxa"/>
            <w:noWrap/>
            <w:hideMark/>
          </w:tcPr>
          <w:p w14:paraId="70AFD5CA"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Treatment</w:t>
            </w:r>
          </w:p>
        </w:tc>
      </w:tr>
      <w:tr w:rsidR="001A01E3" w:rsidRPr="00EF0312" w14:paraId="0258C4C4" w14:textId="77777777" w:rsidTr="001A01E3">
        <w:trPr>
          <w:trHeight w:val="320"/>
        </w:trPr>
        <w:tc>
          <w:tcPr>
            <w:tcW w:w="1345" w:type="dxa"/>
          </w:tcPr>
          <w:p w14:paraId="09DC2FFB" w14:textId="68A77841"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8</w:t>
            </w:r>
          </w:p>
        </w:tc>
        <w:tc>
          <w:tcPr>
            <w:tcW w:w="8411" w:type="dxa"/>
            <w:noWrap/>
            <w:hideMark/>
          </w:tcPr>
          <w:p w14:paraId="13B7EAC8" w14:textId="30AD77DD"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For patients with type 1 diabetes, how does early viral infection exposure compare to no early viral infection in contributing to the onset of the disease?</w:t>
            </w:r>
          </w:p>
          <w:p w14:paraId="1C0F52BE"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12E5F42E"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Microsoft Copilot</w:t>
            </w:r>
          </w:p>
        </w:tc>
        <w:tc>
          <w:tcPr>
            <w:tcW w:w="1297" w:type="dxa"/>
            <w:noWrap/>
            <w:hideMark/>
          </w:tcPr>
          <w:p w14:paraId="1AD5422F" w14:textId="447136A1"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Etiology</w:t>
            </w:r>
          </w:p>
        </w:tc>
      </w:tr>
      <w:tr w:rsidR="001A01E3" w:rsidRPr="00EF0312" w14:paraId="08FF4E42" w14:textId="77777777" w:rsidTr="001A01E3">
        <w:trPr>
          <w:trHeight w:val="320"/>
        </w:trPr>
        <w:tc>
          <w:tcPr>
            <w:tcW w:w="1345" w:type="dxa"/>
          </w:tcPr>
          <w:p w14:paraId="23489654" w14:textId="7BBD40E8"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9</w:t>
            </w:r>
          </w:p>
        </w:tc>
        <w:tc>
          <w:tcPr>
            <w:tcW w:w="8411" w:type="dxa"/>
            <w:noWrap/>
            <w:hideMark/>
          </w:tcPr>
          <w:p w14:paraId="228155D1" w14:textId="284612B6"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patients with early-stage non-small cell lung cancer, how does the presence of circulating tumor cells affect overall survival compared to those without detectable circulating tumor cells?</w:t>
            </w:r>
          </w:p>
        </w:tc>
        <w:tc>
          <w:tcPr>
            <w:tcW w:w="1897" w:type="dxa"/>
            <w:noWrap/>
            <w:hideMark/>
          </w:tcPr>
          <w:p w14:paraId="56C5F8C3"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Microsoft Copilot</w:t>
            </w:r>
          </w:p>
        </w:tc>
        <w:tc>
          <w:tcPr>
            <w:tcW w:w="1297" w:type="dxa"/>
            <w:noWrap/>
            <w:hideMark/>
          </w:tcPr>
          <w:p w14:paraId="03E52669" w14:textId="464984FF"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Prognosis</w:t>
            </w:r>
          </w:p>
        </w:tc>
      </w:tr>
      <w:tr w:rsidR="001A01E3" w:rsidRPr="00EF0312" w14:paraId="555B5A6C" w14:textId="77777777" w:rsidTr="001A01E3">
        <w:trPr>
          <w:trHeight w:val="320"/>
        </w:trPr>
        <w:tc>
          <w:tcPr>
            <w:tcW w:w="1345" w:type="dxa"/>
          </w:tcPr>
          <w:p w14:paraId="138C380B" w14:textId="3309D38D"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10</w:t>
            </w:r>
          </w:p>
        </w:tc>
        <w:tc>
          <w:tcPr>
            <w:tcW w:w="8411" w:type="dxa"/>
            <w:noWrap/>
            <w:hideMark/>
          </w:tcPr>
          <w:p w14:paraId="115ED324" w14:textId="7C34E042"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For patients with chronic lower back pain, is physical therapy more effective than non-steroidal anti-inflammatory drugs (NSAIDs) in improving pain and functional mobility over six months?</w:t>
            </w:r>
          </w:p>
          <w:p w14:paraId="4569F1B9"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0C6B2572"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ChatGPT</w:t>
            </w:r>
          </w:p>
        </w:tc>
        <w:tc>
          <w:tcPr>
            <w:tcW w:w="1297" w:type="dxa"/>
            <w:noWrap/>
            <w:hideMark/>
          </w:tcPr>
          <w:p w14:paraId="058834B9"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Treatment</w:t>
            </w:r>
          </w:p>
        </w:tc>
      </w:tr>
      <w:tr w:rsidR="001A01E3" w:rsidRPr="00EF0312" w14:paraId="4064F48A" w14:textId="77777777" w:rsidTr="001A01E3">
        <w:trPr>
          <w:trHeight w:val="320"/>
        </w:trPr>
        <w:tc>
          <w:tcPr>
            <w:tcW w:w="1345" w:type="dxa"/>
          </w:tcPr>
          <w:p w14:paraId="438A80AE" w14:textId="430A2745"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lastRenderedPageBreak/>
              <w:t>11</w:t>
            </w:r>
          </w:p>
        </w:tc>
        <w:tc>
          <w:tcPr>
            <w:tcW w:w="8411" w:type="dxa"/>
            <w:noWrap/>
            <w:hideMark/>
          </w:tcPr>
          <w:p w14:paraId="36119322" w14:textId="7F14298A"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children under the age of five, does early exposure to secondhand smoke, compared to no exposure, increase the likelihood of developing asthma or other chronic respiratory conditions?</w:t>
            </w:r>
          </w:p>
          <w:p w14:paraId="2CA8CA6F"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626ADF10"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ChatGPT</w:t>
            </w:r>
          </w:p>
        </w:tc>
        <w:tc>
          <w:tcPr>
            <w:tcW w:w="1297" w:type="dxa"/>
            <w:noWrap/>
            <w:hideMark/>
          </w:tcPr>
          <w:p w14:paraId="38FC4161" w14:textId="0D80018F"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Etiology</w:t>
            </w:r>
          </w:p>
        </w:tc>
      </w:tr>
      <w:tr w:rsidR="001A01E3" w:rsidRPr="00EF0312" w14:paraId="4592BC12" w14:textId="77777777" w:rsidTr="001A01E3">
        <w:trPr>
          <w:trHeight w:val="320"/>
        </w:trPr>
        <w:tc>
          <w:tcPr>
            <w:tcW w:w="1345" w:type="dxa"/>
          </w:tcPr>
          <w:p w14:paraId="3FA5576F" w14:textId="1BA2A5EF"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12</w:t>
            </w:r>
          </w:p>
        </w:tc>
        <w:tc>
          <w:tcPr>
            <w:tcW w:w="8411" w:type="dxa"/>
            <w:noWrap/>
            <w:hideMark/>
          </w:tcPr>
          <w:p w14:paraId="33DB89DB" w14:textId="0A321D93"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patients with newly diagnosed multiple myeloma, how does the detection of high-risk cytogenetic abnormalities compared to standard-risk cytogenetics affect overall survival over a 3-year period?</w:t>
            </w:r>
          </w:p>
          <w:p w14:paraId="7C0624DA"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12C0AD6B"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ChatGPT</w:t>
            </w:r>
          </w:p>
        </w:tc>
        <w:tc>
          <w:tcPr>
            <w:tcW w:w="1297" w:type="dxa"/>
            <w:noWrap/>
            <w:hideMark/>
          </w:tcPr>
          <w:p w14:paraId="04C99CD8" w14:textId="02C8730A"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Prognosis</w:t>
            </w:r>
          </w:p>
        </w:tc>
      </w:tr>
      <w:tr w:rsidR="001A01E3" w:rsidRPr="00EF0312" w14:paraId="3918B71E" w14:textId="77777777" w:rsidTr="001A01E3">
        <w:trPr>
          <w:trHeight w:val="320"/>
        </w:trPr>
        <w:tc>
          <w:tcPr>
            <w:tcW w:w="1345" w:type="dxa"/>
          </w:tcPr>
          <w:p w14:paraId="5B2BD3B2" w14:textId="1308434D"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13</w:t>
            </w:r>
          </w:p>
        </w:tc>
        <w:tc>
          <w:tcPr>
            <w:tcW w:w="8411" w:type="dxa"/>
            <w:noWrap/>
            <w:hideMark/>
          </w:tcPr>
          <w:p w14:paraId="4162AFB7" w14:textId="0CB01BEC"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For adults with type 2 diabetes mellitus, does the addition of a GLP-1 receptor agonist to standard metformin therapy reduce the risk of major adverse cardiovascular events compared to metformin alone?</w:t>
            </w:r>
          </w:p>
          <w:p w14:paraId="2945E1D2"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78F5029D"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Google Gemini</w:t>
            </w:r>
          </w:p>
        </w:tc>
        <w:tc>
          <w:tcPr>
            <w:tcW w:w="1297" w:type="dxa"/>
            <w:noWrap/>
            <w:hideMark/>
          </w:tcPr>
          <w:p w14:paraId="6A722C41"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Treatment</w:t>
            </w:r>
          </w:p>
        </w:tc>
      </w:tr>
      <w:tr w:rsidR="001A01E3" w:rsidRPr="00EF0312" w14:paraId="7C48D00A" w14:textId="77777777" w:rsidTr="001A01E3">
        <w:trPr>
          <w:trHeight w:val="320"/>
        </w:trPr>
        <w:tc>
          <w:tcPr>
            <w:tcW w:w="1345" w:type="dxa"/>
          </w:tcPr>
          <w:p w14:paraId="152F962A" w14:textId="138C15D9"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14</w:t>
            </w:r>
          </w:p>
        </w:tc>
        <w:tc>
          <w:tcPr>
            <w:tcW w:w="8411" w:type="dxa"/>
            <w:noWrap/>
            <w:hideMark/>
          </w:tcPr>
          <w:p w14:paraId="3423839A" w14:textId="12EC7ACC"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children with autism spectrum disorder (ASD), does exposure to environmental toxins during pregnancy or early childhood increase the risk of developing ASD?</w:t>
            </w:r>
          </w:p>
          <w:p w14:paraId="0435DD42"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2175DAE9"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Google Gemini</w:t>
            </w:r>
          </w:p>
        </w:tc>
        <w:tc>
          <w:tcPr>
            <w:tcW w:w="1297" w:type="dxa"/>
            <w:noWrap/>
            <w:hideMark/>
          </w:tcPr>
          <w:p w14:paraId="415BDD62" w14:textId="5EF200ED"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Etiology</w:t>
            </w:r>
          </w:p>
        </w:tc>
      </w:tr>
      <w:tr w:rsidR="001A01E3" w:rsidRPr="00EF0312" w14:paraId="0B857BEE" w14:textId="77777777" w:rsidTr="001A01E3">
        <w:trPr>
          <w:trHeight w:val="320"/>
        </w:trPr>
        <w:tc>
          <w:tcPr>
            <w:tcW w:w="1345" w:type="dxa"/>
          </w:tcPr>
          <w:p w14:paraId="61FC6E39" w14:textId="240252F4"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15</w:t>
            </w:r>
          </w:p>
        </w:tc>
        <w:tc>
          <w:tcPr>
            <w:tcW w:w="8411" w:type="dxa"/>
            <w:noWrap/>
            <w:hideMark/>
          </w:tcPr>
          <w:p w14:paraId="30584332" w14:textId="28806DAE"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How does the presence of atrial fibrillation affect the prognosis of patients with acute myocardial infarction?</w:t>
            </w:r>
          </w:p>
          <w:p w14:paraId="10620EDD"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1CE0F83F"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Google Gemini</w:t>
            </w:r>
          </w:p>
        </w:tc>
        <w:tc>
          <w:tcPr>
            <w:tcW w:w="1297" w:type="dxa"/>
            <w:noWrap/>
            <w:hideMark/>
          </w:tcPr>
          <w:p w14:paraId="7DA0590E" w14:textId="051A6A15"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Prognosis</w:t>
            </w:r>
          </w:p>
        </w:tc>
      </w:tr>
      <w:tr w:rsidR="001A01E3" w:rsidRPr="00EF0312" w14:paraId="4F888C79" w14:textId="77777777" w:rsidTr="001A01E3">
        <w:trPr>
          <w:trHeight w:val="320"/>
        </w:trPr>
        <w:tc>
          <w:tcPr>
            <w:tcW w:w="1345" w:type="dxa"/>
          </w:tcPr>
          <w:p w14:paraId="7DC1731E" w14:textId="7AC10309"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16</w:t>
            </w:r>
          </w:p>
        </w:tc>
        <w:tc>
          <w:tcPr>
            <w:tcW w:w="8411" w:type="dxa"/>
            <w:noWrap/>
            <w:hideMark/>
          </w:tcPr>
          <w:p w14:paraId="122AAC34" w14:textId="08C16161"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For adult patients with Type 2 diabetes, does the addition of a GLP-1 receptor agonist to standard metformin therapy improve glycemic control better than adding a DPP-4 inhibitor?</w:t>
            </w:r>
          </w:p>
          <w:p w14:paraId="1AF00718"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054CEEF3"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Microsoft Copilot</w:t>
            </w:r>
          </w:p>
        </w:tc>
        <w:tc>
          <w:tcPr>
            <w:tcW w:w="1297" w:type="dxa"/>
            <w:noWrap/>
            <w:hideMark/>
          </w:tcPr>
          <w:p w14:paraId="7377A1D6"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Treatment</w:t>
            </w:r>
          </w:p>
        </w:tc>
      </w:tr>
      <w:tr w:rsidR="001A01E3" w:rsidRPr="00EF0312" w14:paraId="33713D7F" w14:textId="77777777" w:rsidTr="001A01E3">
        <w:trPr>
          <w:trHeight w:val="320"/>
        </w:trPr>
        <w:tc>
          <w:tcPr>
            <w:tcW w:w="1345" w:type="dxa"/>
          </w:tcPr>
          <w:p w14:paraId="72E424DF" w14:textId="2AD84B8A"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17</w:t>
            </w:r>
          </w:p>
        </w:tc>
        <w:tc>
          <w:tcPr>
            <w:tcW w:w="8411" w:type="dxa"/>
            <w:noWrap/>
            <w:hideMark/>
          </w:tcPr>
          <w:p w14:paraId="147B9CCC" w14:textId="35AAC213"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Among individuals diagnosed with celiac disease, what role does genetic predisposition play in comparison to environmental factors such as diet and hygiene practices?</w:t>
            </w:r>
          </w:p>
          <w:p w14:paraId="4481D001"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43158C3B"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Microsoft Copilot</w:t>
            </w:r>
          </w:p>
        </w:tc>
        <w:tc>
          <w:tcPr>
            <w:tcW w:w="1297" w:type="dxa"/>
            <w:noWrap/>
            <w:hideMark/>
          </w:tcPr>
          <w:p w14:paraId="2CB1936B" w14:textId="616453E9"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Etiology</w:t>
            </w:r>
          </w:p>
        </w:tc>
      </w:tr>
      <w:tr w:rsidR="001A01E3" w:rsidRPr="00EF0312" w14:paraId="1DD09524" w14:textId="77777777" w:rsidTr="001A01E3">
        <w:trPr>
          <w:trHeight w:val="320"/>
        </w:trPr>
        <w:tc>
          <w:tcPr>
            <w:tcW w:w="1345" w:type="dxa"/>
          </w:tcPr>
          <w:p w14:paraId="37AB5BF6" w14:textId="3454E167"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18</w:t>
            </w:r>
          </w:p>
        </w:tc>
        <w:tc>
          <w:tcPr>
            <w:tcW w:w="8411" w:type="dxa"/>
            <w:noWrap/>
            <w:hideMark/>
          </w:tcPr>
          <w:p w14:paraId="1A5111DF" w14:textId="45E685E4"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For individuals diagnosed with chronic kidney disease, what is the impact of elevated serum creatinine levels on the progression to end-stage renal disease compared to those with lower serum creatinine levels?</w:t>
            </w:r>
          </w:p>
        </w:tc>
        <w:tc>
          <w:tcPr>
            <w:tcW w:w="1897" w:type="dxa"/>
            <w:noWrap/>
            <w:hideMark/>
          </w:tcPr>
          <w:p w14:paraId="33275E98"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Microsoft Copilot</w:t>
            </w:r>
          </w:p>
        </w:tc>
        <w:tc>
          <w:tcPr>
            <w:tcW w:w="1297" w:type="dxa"/>
            <w:noWrap/>
            <w:hideMark/>
          </w:tcPr>
          <w:p w14:paraId="0864CB1C" w14:textId="60F3F8E5"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Prognosis</w:t>
            </w:r>
          </w:p>
        </w:tc>
      </w:tr>
      <w:tr w:rsidR="001A01E3" w:rsidRPr="00EF0312" w14:paraId="059B5ED8" w14:textId="77777777" w:rsidTr="001A01E3">
        <w:trPr>
          <w:trHeight w:val="320"/>
        </w:trPr>
        <w:tc>
          <w:tcPr>
            <w:tcW w:w="1345" w:type="dxa"/>
          </w:tcPr>
          <w:p w14:paraId="4253B74D" w14:textId="46794936"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19</w:t>
            </w:r>
          </w:p>
        </w:tc>
        <w:tc>
          <w:tcPr>
            <w:tcW w:w="8411" w:type="dxa"/>
            <w:noWrap/>
            <w:hideMark/>
          </w:tcPr>
          <w:p w14:paraId="6A9AE1B1" w14:textId="7C6ED0F8"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patients with newly diagnosed atrial fibrillation, does the initiation of direct oral anticoagulants (DOACs) compared to warfarin reduce the risk of stroke and systemic embolism without increasing major bleeding incidents?</w:t>
            </w:r>
          </w:p>
          <w:p w14:paraId="65F640BF"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331EC1D8"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ChatGPT</w:t>
            </w:r>
          </w:p>
        </w:tc>
        <w:tc>
          <w:tcPr>
            <w:tcW w:w="1297" w:type="dxa"/>
            <w:noWrap/>
            <w:hideMark/>
          </w:tcPr>
          <w:p w14:paraId="3DFF48DF"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Treatment</w:t>
            </w:r>
          </w:p>
        </w:tc>
      </w:tr>
      <w:tr w:rsidR="001A01E3" w:rsidRPr="00EF0312" w14:paraId="5DC690AC" w14:textId="77777777" w:rsidTr="001A01E3">
        <w:trPr>
          <w:trHeight w:val="320"/>
        </w:trPr>
        <w:tc>
          <w:tcPr>
            <w:tcW w:w="1345" w:type="dxa"/>
          </w:tcPr>
          <w:p w14:paraId="004EA444" w14:textId="625D722B"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20</w:t>
            </w:r>
          </w:p>
        </w:tc>
        <w:tc>
          <w:tcPr>
            <w:tcW w:w="8411" w:type="dxa"/>
            <w:noWrap/>
            <w:hideMark/>
          </w:tcPr>
          <w:p w14:paraId="3F0C5513" w14:textId="125920DE"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For adults with a history of hypertension, how does high dietary sodium intake, compared to a low-sodium diet, influence the incidence of stroke and cardiovascular events?</w:t>
            </w:r>
          </w:p>
          <w:p w14:paraId="3492310D"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67709C7B"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ChatGPT</w:t>
            </w:r>
          </w:p>
        </w:tc>
        <w:tc>
          <w:tcPr>
            <w:tcW w:w="1297" w:type="dxa"/>
            <w:noWrap/>
            <w:hideMark/>
          </w:tcPr>
          <w:p w14:paraId="663015F0" w14:textId="0AA04E93"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Etiology</w:t>
            </w:r>
          </w:p>
        </w:tc>
      </w:tr>
      <w:tr w:rsidR="001A01E3" w:rsidRPr="00EF0312" w14:paraId="0A904D56" w14:textId="77777777" w:rsidTr="001A01E3">
        <w:trPr>
          <w:trHeight w:val="320"/>
        </w:trPr>
        <w:tc>
          <w:tcPr>
            <w:tcW w:w="1345" w:type="dxa"/>
          </w:tcPr>
          <w:p w14:paraId="47A391C6" w14:textId="1820FB22"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lastRenderedPageBreak/>
              <w:t>21</w:t>
            </w:r>
          </w:p>
        </w:tc>
        <w:tc>
          <w:tcPr>
            <w:tcW w:w="8411" w:type="dxa"/>
            <w:noWrap/>
            <w:hideMark/>
          </w:tcPr>
          <w:p w14:paraId="48125037" w14:textId="373A0376"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individuals with chronic hepatitis B infection, how does a persistently elevated ALT level compared to a consistently normal ALT predict the progression to cirrhosis within 5 years?</w:t>
            </w:r>
          </w:p>
          <w:p w14:paraId="25A8F353"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5D8B6CA6"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ChatGPT</w:t>
            </w:r>
          </w:p>
        </w:tc>
        <w:tc>
          <w:tcPr>
            <w:tcW w:w="1297" w:type="dxa"/>
            <w:noWrap/>
            <w:hideMark/>
          </w:tcPr>
          <w:p w14:paraId="48D410AB" w14:textId="42F307A9"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Prognosis</w:t>
            </w:r>
          </w:p>
        </w:tc>
      </w:tr>
      <w:tr w:rsidR="001A01E3" w:rsidRPr="00EF0312" w14:paraId="41E88624" w14:textId="77777777" w:rsidTr="001A01E3">
        <w:trPr>
          <w:trHeight w:val="320"/>
        </w:trPr>
        <w:tc>
          <w:tcPr>
            <w:tcW w:w="1345" w:type="dxa"/>
          </w:tcPr>
          <w:p w14:paraId="5EF33828" w14:textId="25750321"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22</w:t>
            </w:r>
          </w:p>
        </w:tc>
        <w:tc>
          <w:tcPr>
            <w:tcW w:w="8411" w:type="dxa"/>
            <w:noWrap/>
            <w:hideMark/>
          </w:tcPr>
          <w:p w14:paraId="60A49E75" w14:textId="085278DC"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patients with metastatic non-small cell lung cancer (NSCLC) and EGFR mutations, does treatment with a tyrosine kinase inhibitor (TKI) compared to chemotherapy improve overall survival and quality of life?</w:t>
            </w:r>
          </w:p>
          <w:p w14:paraId="5CF38E38"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06A3DA1B"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Google Gemini</w:t>
            </w:r>
          </w:p>
        </w:tc>
        <w:tc>
          <w:tcPr>
            <w:tcW w:w="1297" w:type="dxa"/>
            <w:noWrap/>
            <w:hideMark/>
          </w:tcPr>
          <w:p w14:paraId="56F2F687"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Treatment</w:t>
            </w:r>
          </w:p>
        </w:tc>
      </w:tr>
      <w:tr w:rsidR="001A01E3" w:rsidRPr="00EF0312" w14:paraId="1A0B3D0A" w14:textId="77777777" w:rsidTr="001A01E3">
        <w:trPr>
          <w:trHeight w:val="320"/>
        </w:trPr>
        <w:tc>
          <w:tcPr>
            <w:tcW w:w="1345" w:type="dxa"/>
          </w:tcPr>
          <w:p w14:paraId="528E2D9F" w14:textId="1A3B3A76"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23</w:t>
            </w:r>
          </w:p>
        </w:tc>
        <w:tc>
          <w:tcPr>
            <w:tcW w:w="8411" w:type="dxa"/>
            <w:noWrap/>
            <w:hideMark/>
          </w:tcPr>
          <w:p w14:paraId="454AA172" w14:textId="23F03E2E"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patients with chronic obstructive pulmonary disease (COPD), does exposure to air pollution increase the risk of exacerbations and mortality?</w:t>
            </w:r>
          </w:p>
          <w:p w14:paraId="106ED88A"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0775E839"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Google Gemini</w:t>
            </w:r>
          </w:p>
        </w:tc>
        <w:tc>
          <w:tcPr>
            <w:tcW w:w="1297" w:type="dxa"/>
            <w:noWrap/>
            <w:hideMark/>
          </w:tcPr>
          <w:p w14:paraId="515A8E20" w14:textId="0079C952"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Etiology</w:t>
            </w:r>
          </w:p>
        </w:tc>
      </w:tr>
      <w:tr w:rsidR="001A01E3" w:rsidRPr="00EF0312" w14:paraId="45FE6699" w14:textId="77777777" w:rsidTr="001A01E3">
        <w:trPr>
          <w:trHeight w:val="320"/>
        </w:trPr>
        <w:tc>
          <w:tcPr>
            <w:tcW w:w="1345" w:type="dxa"/>
          </w:tcPr>
          <w:p w14:paraId="67ED91E5" w14:textId="13F31840"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24</w:t>
            </w:r>
          </w:p>
        </w:tc>
        <w:tc>
          <w:tcPr>
            <w:tcW w:w="8411" w:type="dxa"/>
            <w:noWrap/>
            <w:hideMark/>
          </w:tcPr>
          <w:p w14:paraId="087DCD6A" w14:textId="4381DC4F"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What is the risk of cardiovascular events in patients with type 2 diabetes mellitus and a persistent albuminuria level of 30 mg/g?</w:t>
            </w:r>
          </w:p>
          <w:p w14:paraId="3C317330"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501CC803"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Google Gemini</w:t>
            </w:r>
          </w:p>
        </w:tc>
        <w:tc>
          <w:tcPr>
            <w:tcW w:w="1297" w:type="dxa"/>
            <w:noWrap/>
            <w:hideMark/>
          </w:tcPr>
          <w:p w14:paraId="7B31F12E" w14:textId="5B2D09FB"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Prognosis</w:t>
            </w:r>
          </w:p>
        </w:tc>
      </w:tr>
      <w:tr w:rsidR="001A01E3" w:rsidRPr="00EF0312" w14:paraId="5E456C04" w14:textId="77777777" w:rsidTr="001A01E3">
        <w:trPr>
          <w:trHeight w:val="320"/>
        </w:trPr>
        <w:tc>
          <w:tcPr>
            <w:tcW w:w="1345" w:type="dxa"/>
          </w:tcPr>
          <w:p w14:paraId="2C552AF7" w14:textId="4D77185C"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25</w:t>
            </w:r>
          </w:p>
        </w:tc>
        <w:tc>
          <w:tcPr>
            <w:tcW w:w="8411" w:type="dxa"/>
            <w:noWrap/>
            <w:hideMark/>
          </w:tcPr>
          <w:p w14:paraId="31D17FB6" w14:textId="29869D81"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patients with acute ischemic stroke, does mechanical thrombectomy within 6 hours of symptom onset lead to better functional outcomes compared to intravenous thrombolysis alone?</w:t>
            </w:r>
          </w:p>
          <w:p w14:paraId="4BB2E335"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28C34A1D"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Microsoft Copilot</w:t>
            </w:r>
          </w:p>
        </w:tc>
        <w:tc>
          <w:tcPr>
            <w:tcW w:w="1297" w:type="dxa"/>
            <w:noWrap/>
            <w:hideMark/>
          </w:tcPr>
          <w:p w14:paraId="66FEF68D"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Treatment</w:t>
            </w:r>
          </w:p>
        </w:tc>
      </w:tr>
      <w:tr w:rsidR="001A01E3" w:rsidRPr="00EF0312" w14:paraId="34BC4D1E" w14:textId="77777777" w:rsidTr="001A01E3">
        <w:trPr>
          <w:trHeight w:val="320"/>
        </w:trPr>
        <w:tc>
          <w:tcPr>
            <w:tcW w:w="1345" w:type="dxa"/>
          </w:tcPr>
          <w:p w14:paraId="65012FEB" w14:textId="10F056D7"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26</w:t>
            </w:r>
          </w:p>
        </w:tc>
        <w:tc>
          <w:tcPr>
            <w:tcW w:w="8411" w:type="dxa"/>
            <w:noWrap/>
            <w:hideMark/>
          </w:tcPr>
          <w:p w14:paraId="73544891" w14:textId="700AAFA5"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elderly patients with Alzheimer's disease, how does chronic exposure to air pollution compare with genetic factors in influencing the development of the disease?</w:t>
            </w:r>
          </w:p>
          <w:p w14:paraId="284DCBC4"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4B8EF0C6"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Microsoft Copilot</w:t>
            </w:r>
          </w:p>
        </w:tc>
        <w:tc>
          <w:tcPr>
            <w:tcW w:w="1297" w:type="dxa"/>
            <w:noWrap/>
            <w:hideMark/>
          </w:tcPr>
          <w:p w14:paraId="45B7BC36" w14:textId="69E4CF0E"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Etiology</w:t>
            </w:r>
          </w:p>
        </w:tc>
      </w:tr>
      <w:tr w:rsidR="001A01E3" w:rsidRPr="00EF0312" w14:paraId="352C6257" w14:textId="77777777" w:rsidTr="001A01E3">
        <w:trPr>
          <w:trHeight w:val="320"/>
        </w:trPr>
        <w:tc>
          <w:tcPr>
            <w:tcW w:w="1345" w:type="dxa"/>
          </w:tcPr>
          <w:p w14:paraId="35D26333" w14:textId="0CE0FB49"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27</w:t>
            </w:r>
          </w:p>
        </w:tc>
        <w:tc>
          <w:tcPr>
            <w:tcW w:w="8411" w:type="dxa"/>
            <w:noWrap/>
            <w:hideMark/>
          </w:tcPr>
          <w:p w14:paraId="19A626FA" w14:textId="0CFBE023"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patients with heart failure with reduced ejection fraction, how does the presence of a baseline elevated BNP level affect the risk of hospitalization for heart failure compared to those with lower BNP levels?</w:t>
            </w:r>
          </w:p>
          <w:p w14:paraId="36E74826"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61C7A1E2"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Microsoft Copilot</w:t>
            </w:r>
          </w:p>
        </w:tc>
        <w:tc>
          <w:tcPr>
            <w:tcW w:w="1297" w:type="dxa"/>
            <w:noWrap/>
            <w:hideMark/>
          </w:tcPr>
          <w:p w14:paraId="429A5143" w14:textId="09E82E78"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Prognosis</w:t>
            </w:r>
          </w:p>
        </w:tc>
      </w:tr>
      <w:tr w:rsidR="001A01E3" w:rsidRPr="00EF0312" w14:paraId="58CCD5C1" w14:textId="77777777" w:rsidTr="001A01E3">
        <w:trPr>
          <w:trHeight w:val="320"/>
        </w:trPr>
        <w:tc>
          <w:tcPr>
            <w:tcW w:w="1345" w:type="dxa"/>
          </w:tcPr>
          <w:p w14:paraId="075A188B" w14:textId="7084CB95"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28</w:t>
            </w:r>
          </w:p>
        </w:tc>
        <w:tc>
          <w:tcPr>
            <w:tcW w:w="8411" w:type="dxa"/>
            <w:noWrap/>
            <w:hideMark/>
          </w:tcPr>
          <w:p w14:paraId="191A4A3D" w14:textId="2A8D3C96"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For hospitalized patients with severe community-acquired pneumonia, does the addition of corticosteroids to standard antibiotic therapy reduce mortality and the length of hospital stay compared to antibiotics alone?</w:t>
            </w:r>
          </w:p>
          <w:p w14:paraId="02C565C5"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69DDF8F3"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ChatGPT</w:t>
            </w:r>
          </w:p>
        </w:tc>
        <w:tc>
          <w:tcPr>
            <w:tcW w:w="1297" w:type="dxa"/>
            <w:noWrap/>
            <w:hideMark/>
          </w:tcPr>
          <w:p w14:paraId="03A47FF0"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Treatment</w:t>
            </w:r>
          </w:p>
        </w:tc>
      </w:tr>
      <w:tr w:rsidR="001A01E3" w:rsidRPr="00EF0312" w14:paraId="4C627857" w14:textId="77777777" w:rsidTr="001A01E3">
        <w:trPr>
          <w:trHeight w:val="320"/>
        </w:trPr>
        <w:tc>
          <w:tcPr>
            <w:tcW w:w="1345" w:type="dxa"/>
          </w:tcPr>
          <w:p w14:paraId="5FB368B7" w14:textId="0919DD34"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29</w:t>
            </w:r>
          </w:p>
        </w:tc>
        <w:tc>
          <w:tcPr>
            <w:tcW w:w="8411" w:type="dxa"/>
            <w:noWrap/>
            <w:hideMark/>
          </w:tcPr>
          <w:p w14:paraId="038F5C0A" w14:textId="2F40B02D"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middle-aged adults, does long-term high alcohol consumption, compared to moderate or no alcohol use, increase the risk of developing liver cirrhosis?</w:t>
            </w:r>
          </w:p>
          <w:p w14:paraId="45313676"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0C03358C"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ChatGPT</w:t>
            </w:r>
          </w:p>
        </w:tc>
        <w:tc>
          <w:tcPr>
            <w:tcW w:w="1297" w:type="dxa"/>
            <w:noWrap/>
            <w:hideMark/>
          </w:tcPr>
          <w:p w14:paraId="7229E5D1" w14:textId="2B4B780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Etiology</w:t>
            </w:r>
          </w:p>
        </w:tc>
      </w:tr>
      <w:tr w:rsidR="001A01E3" w:rsidRPr="00EF0312" w14:paraId="74FC8E85" w14:textId="77777777" w:rsidTr="001A01E3">
        <w:trPr>
          <w:trHeight w:val="320"/>
        </w:trPr>
        <w:tc>
          <w:tcPr>
            <w:tcW w:w="1345" w:type="dxa"/>
          </w:tcPr>
          <w:p w14:paraId="3BD08269" w14:textId="1CF4901B"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30</w:t>
            </w:r>
          </w:p>
        </w:tc>
        <w:tc>
          <w:tcPr>
            <w:tcW w:w="8411" w:type="dxa"/>
            <w:noWrap/>
            <w:hideMark/>
          </w:tcPr>
          <w:p w14:paraId="4FDF7702" w14:textId="0D70CF61"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For patients who have suffered an initial ischemic stroke, how does the presence of intracranial artery stenosis on imaging compare to no detected stenosis in forecasting the risk of recurrent stroke within 3 years?</w:t>
            </w:r>
          </w:p>
          <w:p w14:paraId="78AF6D5B"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7D032E65"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ChatGPT</w:t>
            </w:r>
          </w:p>
        </w:tc>
        <w:tc>
          <w:tcPr>
            <w:tcW w:w="1297" w:type="dxa"/>
            <w:noWrap/>
            <w:hideMark/>
          </w:tcPr>
          <w:p w14:paraId="7E17E015" w14:textId="0948747F"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Prognosis</w:t>
            </w:r>
          </w:p>
        </w:tc>
      </w:tr>
      <w:tr w:rsidR="001A01E3" w:rsidRPr="00EF0312" w14:paraId="4BEA957D" w14:textId="77777777" w:rsidTr="001A01E3">
        <w:trPr>
          <w:trHeight w:val="320"/>
        </w:trPr>
        <w:tc>
          <w:tcPr>
            <w:tcW w:w="1345" w:type="dxa"/>
          </w:tcPr>
          <w:p w14:paraId="0B70D5B9" w14:textId="2B1224B2"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31</w:t>
            </w:r>
          </w:p>
        </w:tc>
        <w:tc>
          <w:tcPr>
            <w:tcW w:w="8411" w:type="dxa"/>
            <w:noWrap/>
            <w:hideMark/>
          </w:tcPr>
          <w:p w14:paraId="5F410DCD" w14:textId="773A1CD4" w:rsidR="001A01E3" w:rsidRPr="00EF0312"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children with asthma, does the addition of inhaled corticosteroids to inhaled beta-agonists reduce the frequency of acute exacerbations and improve lung function compared to inhaled beta-agonists alone?</w:t>
            </w:r>
          </w:p>
          <w:p w14:paraId="17F47F20" w14:textId="77777777" w:rsidR="001A01E3" w:rsidRPr="00431C3C" w:rsidRDefault="001A01E3" w:rsidP="00431C3C">
            <w:pPr>
              <w:rPr>
                <w:rFonts w:ascii="Aptos" w:eastAsia="Times New Roman" w:hAnsi="Aptos" w:cs="Times New Roman"/>
                <w:color w:val="000000"/>
                <w:kern w:val="0"/>
                <w14:ligatures w14:val="none"/>
              </w:rPr>
            </w:pPr>
          </w:p>
        </w:tc>
        <w:tc>
          <w:tcPr>
            <w:tcW w:w="1897" w:type="dxa"/>
            <w:noWrap/>
            <w:hideMark/>
          </w:tcPr>
          <w:p w14:paraId="19BDBD61"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Google Gemini</w:t>
            </w:r>
          </w:p>
        </w:tc>
        <w:tc>
          <w:tcPr>
            <w:tcW w:w="1297" w:type="dxa"/>
            <w:noWrap/>
            <w:hideMark/>
          </w:tcPr>
          <w:p w14:paraId="1F16E20B"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Treatment</w:t>
            </w:r>
          </w:p>
        </w:tc>
      </w:tr>
      <w:tr w:rsidR="001A01E3" w:rsidRPr="00EF0312" w14:paraId="34104082" w14:textId="77777777" w:rsidTr="001A01E3">
        <w:trPr>
          <w:trHeight w:val="320"/>
        </w:trPr>
        <w:tc>
          <w:tcPr>
            <w:tcW w:w="1345" w:type="dxa"/>
          </w:tcPr>
          <w:p w14:paraId="6B021BFF" w14:textId="6682EBEF"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lastRenderedPageBreak/>
              <w:t>32</w:t>
            </w:r>
          </w:p>
        </w:tc>
        <w:tc>
          <w:tcPr>
            <w:tcW w:w="8411" w:type="dxa"/>
            <w:noWrap/>
            <w:hideMark/>
          </w:tcPr>
          <w:p w14:paraId="0175BFEB" w14:textId="0296B749"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postmenopausal women, does hormone replacement therapy (HRT) increase the risk of developing breast cancer?</w:t>
            </w:r>
          </w:p>
        </w:tc>
        <w:tc>
          <w:tcPr>
            <w:tcW w:w="1897" w:type="dxa"/>
            <w:noWrap/>
            <w:hideMark/>
          </w:tcPr>
          <w:p w14:paraId="1D50563E"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Google Gemini</w:t>
            </w:r>
          </w:p>
        </w:tc>
        <w:tc>
          <w:tcPr>
            <w:tcW w:w="1297" w:type="dxa"/>
            <w:noWrap/>
            <w:hideMark/>
          </w:tcPr>
          <w:p w14:paraId="2E094106" w14:textId="3BA9D858"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Etiology</w:t>
            </w:r>
          </w:p>
        </w:tc>
      </w:tr>
      <w:tr w:rsidR="001A01E3" w:rsidRPr="00EF0312" w14:paraId="783176AE" w14:textId="77777777" w:rsidTr="001A01E3">
        <w:trPr>
          <w:trHeight w:val="320"/>
        </w:trPr>
        <w:tc>
          <w:tcPr>
            <w:tcW w:w="1345" w:type="dxa"/>
          </w:tcPr>
          <w:p w14:paraId="427DF572" w14:textId="2EEF09B5"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33</w:t>
            </w:r>
          </w:p>
        </w:tc>
        <w:tc>
          <w:tcPr>
            <w:tcW w:w="8411" w:type="dxa"/>
            <w:noWrap/>
            <w:hideMark/>
          </w:tcPr>
          <w:p w14:paraId="6E879BB2" w14:textId="1524DEA4"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What is the likelihood of disease progression in patients with multiple sclerosis who experience a second clinical relapse within the first two years of diagnosis?</w:t>
            </w:r>
          </w:p>
        </w:tc>
        <w:tc>
          <w:tcPr>
            <w:tcW w:w="1897" w:type="dxa"/>
            <w:noWrap/>
            <w:hideMark/>
          </w:tcPr>
          <w:p w14:paraId="636CE367"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Google Gemini</w:t>
            </w:r>
          </w:p>
        </w:tc>
        <w:tc>
          <w:tcPr>
            <w:tcW w:w="1297" w:type="dxa"/>
            <w:noWrap/>
            <w:hideMark/>
          </w:tcPr>
          <w:p w14:paraId="635CBFA8" w14:textId="7DDD8840"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Prognosis</w:t>
            </w:r>
          </w:p>
        </w:tc>
      </w:tr>
      <w:tr w:rsidR="001A01E3" w:rsidRPr="00EF0312" w14:paraId="115ABCC0" w14:textId="77777777" w:rsidTr="001A01E3">
        <w:trPr>
          <w:trHeight w:val="320"/>
        </w:trPr>
        <w:tc>
          <w:tcPr>
            <w:tcW w:w="1345" w:type="dxa"/>
          </w:tcPr>
          <w:p w14:paraId="72A49253" w14:textId="6E828676"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34</w:t>
            </w:r>
          </w:p>
        </w:tc>
        <w:tc>
          <w:tcPr>
            <w:tcW w:w="8411" w:type="dxa"/>
            <w:noWrap/>
            <w:hideMark/>
          </w:tcPr>
          <w:p w14:paraId="1CA2EB92" w14:textId="7FC2E3A8"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For postmenopausal women with osteopenia, does daily supplementation with vitamin D and calcium reduce the risk of fractures more effectively than exercise alone?</w:t>
            </w:r>
          </w:p>
        </w:tc>
        <w:tc>
          <w:tcPr>
            <w:tcW w:w="1897" w:type="dxa"/>
            <w:noWrap/>
            <w:hideMark/>
          </w:tcPr>
          <w:p w14:paraId="31340B58"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Microsoft Copilot</w:t>
            </w:r>
          </w:p>
        </w:tc>
        <w:tc>
          <w:tcPr>
            <w:tcW w:w="1297" w:type="dxa"/>
            <w:noWrap/>
            <w:hideMark/>
          </w:tcPr>
          <w:p w14:paraId="34A3F780"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Treatment</w:t>
            </w:r>
          </w:p>
        </w:tc>
      </w:tr>
      <w:tr w:rsidR="001A01E3" w:rsidRPr="00EF0312" w14:paraId="471BC141" w14:textId="77777777" w:rsidTr="001A01E3">
        <w:trPr>
          <w:trHeight w:val="320"/>
        </w:trPr>
        <w:tc>
          <w:tcPr>
            <w:tcW w:w="1345" w:type="dxa"/>
          </w:tcPr>
          <w:p w14:paraId="7A6FE061" w14:textId="1DC9569A"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35</w:t>
            </w:r>
          </w:p>
        </w:tc>
        <w:tc>
          <w:tcPr>
            <w:tcW w:w="8411" w:type="dxa"/>
            <w:noWrap/>
            <w:hideMark/>
          </w:tcPr>
          <w:p w14:paraId="6107BDA8" w14:textId="4CEB502E"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For children diagnosed with ADHD, what is the link between maternal smoking during pregnancy and the occurrence of ADHD compared to children whose mothers did not smoke during pregnancy?</w:t>
            </w:r>
          </w:p>
        </w:tc>
        <w:tc>
          <w:tcPr>
            <w:tcW w:w="1897" w:type="dxa"/>
            <w:noWrap/>
            <w:hideMark/>
          </w:tcPr>
          <w:p w14:paraId="0103C0CF"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Microsoft Copilot</w:t>
            </w:r>
          </w:p>
        </w:tc>
        <w:tc>
          <w:tcPr>
            <w:tcW w:w="1297" w:type="dxa"/>
            <w:noWrap/>
            <w:hideMark/>
          </w:tcPr>
          <w:p w14:paraId="08087276" w14:textId="36C0E8C0"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Etiology</w:t>
            </w:r>
          </w:p>
        </w:tc>
      </w:tr>
      <w:tr w:rsidR="001A01E3" w:rsidRPr="00EF0312" w14:paraId="025FEA1D" w14:textId="77777777" w:rsidTr="001A01E3">
        <w:trPr>
          <w:trHeight w:val="320"/>
        </w:trPr>
        <w:tc>
          <w:tcPr>
            <w:tcW w:w="1345" w:type="dxa"/>
          </w:tcPr>
          <w:p w14:paraId="0B5EE4A3" w14:textId="77ABF83D"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36</w:t>
            </w:r>
          </w:p>
        </w:tc>
        <w:tc>
          <w:tcPr>
            <w:tcW w:w="8411" w:type="dxa"/>
            <w:noWrap/>
            <w:hideMark/>
          </w:tcPr>
          <w:p w14:paraId="0ED1BC49" w14:textId="7EE3FC9C"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Among patients with newly diagnosed rheumatoid arthritis, how do anti-cyclic citrullinated peptide (anti-CCP) antibody levels predict the likelihood of joint damage progression compared to patients without elevated anti-CCP antibody levels?</w:t>
            </w:r>
          </w:p>
        </w:tc>
        <w:tc>
          <w:tcPr>
            <w:tcW w:w="1897" w:type="dxa"/>
            <w:noWrap/>
            <w:hideMark/>
          </w:tcPr>
          <w:p w14:paraId="1F30FA43"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Microsoft Copilot</w:t>
            </w:r>
          </w:p>
        </w:tc>
        <w:tc>
          <w:tcPr>
            <w:tcW w:w="1297" w:type="dxa"/>
            <w:noWrap/>
            <w:hideMark/>
          </w:tcPr>
          <w:p w14:paraId="34FDA998" w14:textId="21ADDE00"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Prognosis</w:t>
            </w:r>
          </w:p>
        </w:tc>
      </w:tr>
      <w:tr w:rsidR="001A01E3" w:rsidRPr="00EF0312" w14:paraId="3FA1F59B" w14:textId="77777777" w:rsidTr="001A01E3">
        <w:trPr>
          <w:trHeight w:val="320"/>
        </w:trPr>
        <w:tc>
          <w:tcPr>
            <w:tcW w:w="1345" w:type="dxa"/>
          </w:tcPr>
          <w:p w14:paraId="5051972F" w14:textId="310E5CC6"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37</w:t>
            </w:r>
          </w:p>
        </w:tc>
        <w:tc>
          <w:tcPr>
            <w:tcW w:w="8411" w:type="dxa"/>
            <w:noWrap/>
            <w:hideMark/>
          </w:tcPr>
          <w:p w14:paraId="34A50F5C" w14:textId="7832CF8F"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elderly patients with symptomatic knee osteoarthritis, does hyaluronic acid injection improve pain and joint function more effectively than standard oral acetaminophen?</w:t>
            </w:r>
          </w:p>
        </w:tc>
        <w:tc>
          <w:tcPr>
            <w:tcW w:w="1897" w:type="dxa"/>
            <w:noWrap/>
            <w:hideMark/>
          </w:tcPr>
          <w:p w14:paraId="3B4B1870"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ChatGPT</w:t>
            </w:r>
          </w:p>
        </w:tc>
        <w:tc>
          <w:tcPr>
            <w:tcW w:w="1297" w:type="dxa"/>
            <w:noWrap/>
            <w:hideMark/>
          </w:tcPr>
          <w:p w14:paraId="4AF54D44"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Treatment</w:t>
            </w:r>
          </w:p>
        </w:tc>
      </w:tr>
      <w:tr w:rsidR="001A01E3" w:rsidRPr="00EF0312" w14:paraId="3109A58C" w14:textId="77777777" w:rsidTr="001A01E3">
        <w:trPr>
          <w:trHeight w:val="320"/>
        </w:trPr>
        <w:tc>
          <w:tcPr>
            <w:tcW w:w="1345" w:type="dxa"/>
          </w:tcPr>
          <w:p w14:paraId="00384CDF" w14:textId="0C4D7B94"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38</w:t>
            </w:r>
          </w:p>
        </w:tc>
        <w:tc>
          <w:tcPr>
            <w:tcW w:w="8411" w:type="dxa"/>
            <w:noWrap/>
            <w:hideMark/>
          </w:tcPr>
          <w:p w14:paraId="43581539" w14:textId="7AB8022C"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adolescents, does frequent consumption of high-sugar beverages, compared to minimal or no intake, increase the risk of developing non-alcoholic fatty liver disease?</w:t>
            </w:r>
          </w:p>
        </w:tc>
        <w:tc>
          <w:tcPr>
            <w:tcW w:w="1897" w:type="dxa"/>
            <w:noWrap/>
            <w:hideMark/>
          </w:tcPr>
          <w:p w14:paraId="25330459"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ChatGPT</w:t>
            </w:r>
          </w:p>
        </w:tc>
        <w:tc>
          <w:tcPr>
            <w:tcW w:w="1297" w:type="dxa"/>
            <w:noWrap/>
            <w:hideMark/>
          </w:tcPr>
          <w:p w14:paraId="313A9F9A" w14:textId="262A6E15"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Etiology</w:t>
            </w:r>
          </w:p>
        </w:tc>
      </w:tr>
      <w:tr w:rsidR="001A01E3" w:rsidRPr="00EF0312" w14:paraId="02C05073" w14:textId="77777777" w:rsidTr="001A01E3">
        <w:trPr>
          <w:trHeight w:val="320"/>
        </w:trPr>
        <w:tc>
          <w:tcPr>
            <w:tcW w:w="1345" w:type="dxa"/>
          </w:tcPr>
          <w:p w14:paraId="00EC87D9" w14:textId="4498DA08"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39</w:t>
            </w:r>
          </w:p>
        </w:tc>
        <w:tc>
          <w:tcPr>
            <w:tcW w:w="8411" w:type="dxa"/>
            <w:noWrap/>
            <w:hideMark/>
          </w:tcPr>
          <w:p w14:paraId="5A20B417" w14:textId="6AE22684"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patients with early-stage Alzheimer's disease, how does the presence of significant hippocampal atrophy on MRI compared to minimal atrophy influence the rate of cognitive decline over 5 years?</w:t>
            </w:r>
          </w:p>
        </w:tc>
        <w:tc>
          <w:tcPr>
            <w:tcW w:w="1897" w:type="dxa"/>
            <w:noWrap/>
            <w:hideMark/>
          </w:tcPr>
          <w:p w14:paraId="33A9B418"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ChatGPT</w:t>
            </w:r>
          </w:p>
        </w:tc>
        <w:tc>
          <w:tcPr>
            <w:tcW w:w="1297" w:type="dxa"/>
            <w:noWrap/>
            <w:hideMark/>
          </w:tcPr>
          <w:p w14:paraId="106EB91D"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Disease Prognosis</w:t>
            </w:r>
          </w:p>
        </w:tc>
      </w:tr>
      <w:tr w:rsidR="001A01E3" w:rsidRPr="00EF0312" w14:paraId="7C315D74" w14:textId="77777777" w:rsidTr="001A01E3">
        <w:trPr>
          <w:trHeight w:val="320"/>
        </w:trPr>
        <w:tc>
          <w:tcPr>
            <w:tcW w:w="1345" w:type="dxa"/>
          </w:tcPr>
          <w:p w14:paraId="3A9D8A10" w14:textId="62C6F71D"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40</w:t>
            </w:r>
          </w:p>
        </w:tc>
        <w:tc>
          <w:tcPr>
            <w:tcW w:w="8411" w:type="dxa"/>
            <w:noWrap/>
            <w:hideMark/>
          </w:tcPr>
          <w:p w14:paraId="26DB071F" w14:textId="5D239F2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patients with chronic obstructive pulmonary disease (COPD), does the addition of long-acting muscarinic antagonist (LAMA) to inhaled corticosteroids improve lung function, quality of life, and reduce exacerbations compared to inhaled corticosteroids alone?</w:t>
            </w:r>
          </w:p>
        </w:tc>
        <w:tc>
          <w:tcPr>
            <w:tcW w:w="1897" w:type="dxa"/>
            <w:noWrap/>
            <w:hideMark/>
          </w:tcPr>
          <w:p w14:paraId="3BAD04B5"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Google Gemini</w:t>
            </w:r>
          </w:p>
        </w:tc>
        <w:tc>
          <w:tcPr>
            <w:tcW w:w="1297" w:type="dxa"/>
            <w:noWrap/>
            <w:hideMark/>
          </w:tcPr>
          <w:p w14:paraId="779A796E"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Treatment</w:t>
            </w:r>
          </w:p>
        </w:tc>
      </w:tr>
      <w:tr w:rsidR="001A01E3" w:rsidRPr="00EF0312" w14:paraId="3282BFD5" w14:textId="77777777" w:rsidTr="001A01E3">
        <w:trPr>
          <w:trHeight w:val="320"/>
        </w:trPr>
        <w:tc>
          <w:tcPr>
            <w:tcW w:w="1345" w:type="dxa"/>
          </w:tcPr>
          <w:p w14:paraId="6CC10A17" w14:textId="3BF70F6A"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41</w:t>
            </w:r>
          </w:p>
        </w:tc>
        <w:tc>
          <w:tcPr>
            <w:tcW w:w="8411" w:type="dxa"/>
            <w:noWrap/>
            <w:hideMark/>
          </w:tcPr>
          <w:p w14:paraId="0CDB2BF2" w14:textId="26141D9E"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adults with obesity, does a diet high in processed foods increase the risk of developing type 2 diabetes mellitus?</w:t>
            </w:r>
          </w:p>
        </w:tc>
        <w:tc>
          <w:tcPr>
            <w:tcW w:w="1897" w:type="dxa"/>
            <w:noWrap/>
            <w:hideMark/>
          </w:tcPr>
          <w:p w14:paraId="4F319FAE"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Google Gemini</w:t>
            </w:r>
          </w:p>
        </w:tc>
        <w:tc>
          <w:tcPr>
            <w:tcW w:w="1297" w:type="dxa"/>
            <w:noWrap/>
            <w:hideMark/>
          </w:tcPr>
          <w:p w14:paraId="3DC7BBF7" w14:textId="44CDEB6D"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Etiology</w:t>
            </w:r>
          </w:p>
        </w:tc>
      </w:tr>
      <w:tr w:rsidR="001A01E3" w:rsidRPr="00EF0312" w14:paraId="21DD0B2B" w14:textId="77777777" w:rsidTr="001A01E3">
        <w:trPr>
          <w:trHeight w:val="320"/>
        </w:trPr>
        <w:tc>
          <w:tcPr>
            <w:tcW w:w="1345" w:type="dxa"/>
          </w:tcPr>
          <w:p w14:paraId="56161F3D" w14:textId="6443DDB8"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lastRenderedPageBreak/>
              <w:t>42</w:t>
            </w:r>
          </w:p>
        </w:tc>
        <w:tc>
          <w:tcPr>
            <w:tcW w:w="8411" w:type="dxa"/>
            <w:noWrap/>
            <w:hideMark/>
          </w:tcPr>
          <w:p w14:paraId="5D0624B2" w14:textId="7A778429"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How does the presence of a family history of Alzheimer's disease impact the risk of developing dementia in individuals with mild cognitive impairment?</w:t>
            </w:r>
          </w:p>
        </w:tc>
        <w:tc>
          <w:tcPr>
            <w:tcW w:w="1897" w:type="dxa"/>
            <w:noWrap/>
            <w:hideMark/>
          </w:tcPr>
          <w:p w14:paraId="4FBAA418"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Google Gemini</w:t>
            </w:r>
          </w:p>
        </w:tc>
        <w:tc>
          <w:tcPr>
            <w:tcW w:w="1297" w:type="dxa"/>
            <w:noWrap/>
            <w:hideMark/>
          </w:tcPr>
          <w:p w14:paraId="463607FB" w14:textId="2ACD9F99"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Prognosis</w:t>
            </w:r>
          </w:p>
        </w:tc>
      </w:tr>
      <w:tr w:rsidR="001A01E3" w:rsidRPr="00EF0312" w14:paraId="2DFA029D" w14:textId="77777777" w:rsidTr="001A01E3">
        <w:trPr>
          <w:trHeight w:val="320"/>
        </w:trPr>
        <w:tc>
          <w:tcPr>
            <w:tcW w:w="1345" w:type="dxa"/>
          </w:tcPr>
          <w:p w14:paraId="76E92791" w14:textId="30B71C15"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43</w:t>
            </w:r>
          </w:p>
        </w:tc>
        <w:tc>
          <w:tcPr>
            <w:tcW w:w="8411" w:type="dxa"/>
            <w:noWrap/>
            <w:hideMark/>
          </w:tcPr>
          <w:p w14:paraId="38022213" w14:textId="208A5B9C"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children with acute otitis media, does the use of antibiotic therapy shorten the duration of symptoms compared to watchful waiting?</w:t>
            </w:r>
          </w:p>
        </w:tc>
        <w:tc>
          <w:tcPr>
            <w:tcW w:w="1897" w:type="dxa"/>
            <w:noWrap/>
            <w:hideMark/>
          </w:tcPr>
          <w:p w14:paraId="44E2083F"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Microsoft Copilot</w:t>
            </w:r>
          </w:p>
        </w:tc>
        <w:tc>
          <w:tcPr>
            <w:tcW w:w="1297" w:type="dxa"/>
            <w:noWrap/>
            <w:hideMark/>
          </w:tcPr>
          <w:p w14:paraId="2E632E75"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Treatment</w:t>
            </w:r>
          </w:p>
        </w:tc>
      </w:tr>
      <w:tr w:rsidR="001A01E3" w:rsidRPr="00EF0312" w14:paraId="3E1C7D67" w14:textId="77777777" w:rsidTr="001A01E3">
        <w:trPr>
          <w:trHeight w:val="320"/>
        </w:trPr>
        <w:tc>
          <w:tcPr>
            <w:tcW w:w="1345" w:type="dxa"/>
          </w:tcPr>
          <w:p w14:paraId="7EE65761" w14:textId="20B2A95E"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44</w:t>
            </w:r>
          </w:p>
        </w:tc>
        <w:tc>
          <w:tcPr>
            <w:tcW w:w="8411" w:type="dxa"/>
            <w:noWrap/>
            <w:hideMark/>
          </w:tcPr>
          <w:p w14:paraId="6B431F25" w14:textId="4F1BF72D"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adolescents with major depressive disorder, how does experiencing early childhood trauma compare to genetic predisposition in influencing the development of the condition?</w:t>
            </w:r>
          </w:p>
        </w:tc>
        <w:tc>
          <w:tcPr>
            <w:tcW w:w="1897" w:type="dxa"/>
            <w:noWrap/>
            <w:hideMark/>
          </w:tcPr>
          <w:p w14:paraId="090EADAE"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Microsoft Copilot</w:t>
            </w:r>
          </w:p>
        </w:tc>
        <w:tc>
          <w:tcPr>
            <w:tcW w:w="1297" w:type="dxa"/>
            <w:noWrap/>
            <w:hideMark/>
          </w:tcPr>
          <w:p w14:paraId="13299A98" w14:textId="2D7072BF"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Etiology</w:t>
            </w:r>
          </w:p>
        </w:tc>
      </w:tr>
      <w:tr w:rsidR="001A01E3" w:rsidRPr="00EF0312" w14:paraId="2AA0454E" w14:textId="77777777" w:rsidTr="001A01E3">
        <w:trPr>
          <w:trHeight w:val="320"/>
        </w:trPr>
        <w:tc>
          <w:tcPr>
            <w:tcW w:w="1345" w:type="dxa"/>
          </w:tcPr>
          <w:p w14:paraId="33927955" w14:textId="18AD3732" w:rsidR="001A01E3" w:rsidRPr="00431C3C" w:rsidRDefault="001A01E3" w:rsidP="00F850A1">
            <w:pPr>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45</w:t>
            </w:r>
          </w:p>
        </w:tc>
        <w:tc>
          <w:tcPr>
            <w:tcW w:w="8411" w:type="dxa"/>
            <w:noWrap/>
            <w:hideMark/>
          </w:tcPr>
          <w:p w14:paraId="6603BD7F" w14:textId="4AF1A6A2"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In patients with acute ischemic stroke, how does the presence of early ischemic changes on initial CT scans predict long-term functional outcomes compared to those without such changes?</w:t>
            </w:r>
          </w:p>
        </w:tc>
        <w:tc>
          <w:tcPr>
            <w:tcW w:w="1897" w:type="dxa"/>
            <w:noWrap/>
            <w:hideMark/>
          </w:tcPr>
          <w:p w14:paraId="38898C40" w14:textId="77777777"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Microsoft Copilot</w:t>
            </w:r>
          </w:p>
        </w:tc>
        <w:tc>
          <w:tcPr>
            <w:tcW w:w="1297" w:type="dxa"/>
            <w:noWrap/>
            <w:hideMark/>
          </w:tcPr>
          <w:p w14:paraId="0FD6484C" w14:textId="4DEECBC6" w:rsidR="001A01E3" w:rsidRPr="00431C3C" w:rsidRDefault="001A01E3" w:rsidP="00431C3C">
            <w:pPr>
              <w:rPr>
                <w:rFonts w:ascii="Aptos" w:eastAsia="Times New Roman" w:hAnsi="Aptos" w:cs="Times New Roman"/>
                <w:color w:val="000000"/>
                <w:kern w:val="0"/>
                <w14:ligatures w14:val="none"/>
              </w:rPr>
            </w:pPr>
            <w:r w:rsidRPr="00431C3C">
              <w:rPr>
                <w:rFonts w:ascii="Aptos" w:eastAsia="Times New Roman" w:hAnsi="Aptos" w:cs="Times New Roman"/>
                <w:color w:val="000000"/>
                <w:kern w:val="0"/>
                <w14:ligatures w14:val="none"/>
              </w:rPr>
              <w:t>Prognosis</w:t>
            </w:r>
          </w:p>
        </w:tc>
      </w:tr>
    </w:tbl>
    <w:p w14:paraId="232E5AC3" w14:textId="77777777" w:rsidR="0097310D" w:rsidRDefault="0097310D"/>
    <w:sectPr w:rsidR="0097310D" w:rsidSect="00431C3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F1"/>
    <w:rsid w:val="0000032B"/>
    <w:rsid w:val="00005726"/>
    <w:rsid w:val="00005BAD"/>
    <w:rsid w:val="00005C6D"/>
    <w:rsid w:val="00005F09"/>
    <w:rsid w:val="000065A9"/>
    <w:rsid w:val="0001469F"/>
    <w:rsid w:val="00014EC3"/>
    <w:rsid w:val="000161A9"/>
    <w:rsid w:val="00016604"/>
    <w:rsid w:val="00016F63"/>
    <w:rsid w:val="00021325"/>
    <w:rsid w:val="00026118"/>
    <w:rsid w:val="00032ACF"/>
    <w:rsid w:val="00035581"/>
    <w:rsid w:val="00037090"/>
    <w:rsid w:val="00041663"/>
    <w:rsid w:val="00043CE1"/>
    <w:rsid w:val="00045311"/>
    <w:rsid w:val="00050A9A"/>
    <w:rsid w:val="00050F9F"/>
    <w:rsid w:val="00051956"/>
    <w:rsid w:val="00052B8E"/>
    <w:rsid w:val="00053A53"/>
    <w:rsid w:val="00054A60"/>
    <w:rsid w:val="00055A65"/>
    <w:rsid w:val="0005771E"/>
    <w:rsid w:val="0006175C"/>
    <w:rsid w:val="00062C11"/>
    <w:rsid w:val="00062F2E"/>
    <w:rsid w:val="0006535D"/>
    <w:rsid w:val="0006783A"/>
    <w:rsid w:val="00070A08"/>
    <w:rsid w:val="00071112"/>
    <w:rsid w:val="00072DA6"/>
    <w:rsid w:val="00072F33"/>
    <w:rsid w:val="00073615"/>
    <w:rsid w:val="00074448"/>
    <w:rsid w:val="00075588"/>
    <w:rsid w:val="00075F2F"/>
    <w:rsid w:val="00081568"/>
    <w:rsid w:val="0008196C"/>
    <w:rsid w:val="00081A0C"/>
    <w:rsid w:val="000826C5"/>
    <w:rsid w:val="00084303"/>
    <w:rsid w:val="00085AD8"/>
    <w:rsid w:val="00092CB7"/>
    <w:rsid w:val="00094B60"/>
    <w:rsid w:val="000959E0"/>
    <w:rsid w:val="00096285"/>
    <w:rsid w:val="00097AEF"/>
    <w:rsid w:val="000A1FB5"/>
    <w:rsid w:val="000B247C"/>
    <w:rsid w:val="000B3B3F"/>
    <w:rsid w:val="000B4F29"/>
    <w:rsid w:val="000B56EC"/>
    <w:rsid w:val="000B7661"/>
    <w:rsid w:val="000B76E5"/>
    <w:rsid w:val="000B7B24"/>
    <w:rsid w:val="000B7E7E"/>
    <w:rsid w:val="000D2232"/>
    <w:rsid w:val="000E2B9F"/>
    <w:rsid w:val="000E3FBB"/>
    <w:rsid w:val="000E4DA4"/>
    <w:rsid w:val="000E60EA"/>
    <w:rsid w:val="000E748D"/>
    <w:rsid w:val="000F047F"/>
    <w:rsid w:val="000F0561"/>
    <w:rsid w:val="000F22B0"/>
    <w:rsid w:val="000F34E6"/>
    <w:rsid w:val="000F5ECA"/>
    <w:rsid w:val="000F6BF9"/>
    <w:rsid w:val="000F6FD2"/>
    <w:rsid w:val="000F745C"/>
    <w:rsid w:val="00103C9E"/>
    <w:rsid w:val="001043D3"/>
    <w:rsid w:val="001114F7"/>
    <w:rsid w:val="00113787"/>
    <w:rsid w:val="00114BAD"/>
    <w:rsid w:val="00116602"/>
    <w:rsid w:val="00117431"/>
    <w:rsid w:val="00124DC2"/>
    <w:rsid w:val="00133A6C"/>
    <w:rsid w:val="001351C3"/>
    <w:rsid w:val="00145111"/>
    <w:rsid w:val="00146631"/>
    <w:rsid w:val="00153F50"/>
    <w:rsid w:val="0015463C"/>
    <w:rsid w:val="0016014B"/>
    <w:rsid w:val="00163B03"/>
    <w:rsid w:val="00164107"/>
    <w:rsid w:val="00165B59"/>
    <w:rsid w:val="00166CFA"/>
    <w:rsid w:val="00167AA2"/>
    <w:rsid w:val="00173FBF"/>
    <w:rsid w:val="00175DD2"/>
    <w:rsid w:val="00180232"/>
    <w:rsid w:val="0018177A"/>
    <w:rsid w:val="001832D0"/>
    <w:rsid w:val="00183338"/>
    <w:rsid w:val="00183EB2"/>
    <w:rsid w:val="0018580C"/>
    <w:rsid w:val="001901B8"/>
    <w:rsid w:val="00190AAB"/>
    <w:rsid w:val="00195971"/>
    <w:rsid w:val="00197276"/>
    <w:rsid w:val="001A01E3"/>
    <w:rsid w:val="001A5E46"/>
    <w:rsid w:val="001A6CC9"/>
    <w:rsid w:val="001A6DCD"/>
    <w:rsid w:val="001B227E"/>
    <w:rsid w:val="001B36C3"/>
    <w:rsid w:val="001B54EF"/>
    <w:rsid w:val="001C394B"/>
    <w:rsid w:val="001C7584"/>
    <w:rsid w:val="001C7C27"/>
    <w:rsid w:val="001D1228"/>
    <w:rsid w:val="001D1918"/>
    <w:rsid w:val="001D6AB4"/>
    <w:rsid w:val="001E1366"/>
    <w:rsid w:val="001E1D52"/>
    <w:rsid w:val="001E3182"/>
    <w:rsid w:val="001E46F3"/>
    <w:rsid w:val="001F0020"/>
    <w:rsid w:val="001F1833"/>
    <w:rsid w:val="001F32DD"/>
    <w:rsid w:val="001F5388"/>
    <w:rsid w:val="002012B7"/>
    <w:rsid w:val="0020449D"/>
    <w:rsid w:val="00204A34"/>
    <w:rsid w:val="002078ED"/>
    <w:rsid w:val="00210957"/>
    <w:rsid w:val="00211574"/>
    <w:rsid w:val="00211AAF"/>
    <w:rsid w:val="002126AB"/>
    <w:rsid w:val="002136FF"/>
    <w:rsid w:val="00215418"/>
    <w:rsid w:val="00216C93"/>
    <w:rsid w:val="0022021A"/>
    <w:rsid w:val="0022313B"/>
    <w:rsid w:val="0022356D"/>
    <w:rsid w:val="00223D1A"/>
    <w:rsid w:val="00226DAB"/>
    <w:rsid w:val="00231A6C"/>
    <w:rsid w:val="00232009"/>
    <w:rsid w:val="00234FFD"/>
    <w:rsid w:val="00242873"/>
    <w:rsid w:val="00243A15"/>
    <w:rsid w:val="00244BE2"/>
    <w:rsid w:val="00254CA4"/>
    <w:rsid w:val="00255FAB"/>
    <w:rsid w:val="002603DE"/>
    <w:rsid w:val="00266A06"/>
    <w:rsid w:val="00266B25"/>
    <w:rsid w:val="0027178D"/>
    <w:rsid w:val="00277BBE"/>
    <w:rsid w:val="00284124"/>
    <w:rsid w:val="00285A2A"/>
    <w:rsid w:val="00287864"/>
    <w:rsid w:val="00292AA9"/>
    <w:rsid w:val="00295795"/>
    <w:rsid w:val="002963EE"/>
    <w:rsid w:val="00296D37"/>
    <w:rsid w:val="002A11FB"/>
    <w:rsid w:val="002A21A9"/>
    <w:rsid w:val="002A5ACA"/>
    <w:rsid w:val="002A6BC8"/>
    <w:rsid w:val="002A76D1"/>
    <w:rsid w:val="002B19D0"/>
    <w:rsid w:val="002B29C7"/>
    <w:rsid w:val="002B4D1A"/>
    <w:rsid w:val="002B6086"/>
    <w:rsid w:val="002B7F61"/>
    <w:rsid w:val="002C00A4"/>
    <w:rsid w:val="002C131F"/>
    <w:rsid w:val="002C182E"/>
    <w:rsid w:val="002C1CC0"/>
    <w:rsid w:val="002C3713"/>
    <w:rsid w:val="002C77DB"/>
    <w:rsid w:val="002D0107"/>
    <w:rsid w:val="002D35EF"/>
    <w:rsid w:val="002D3EFF"/>
    <w:rsid w:val="002D73B3"/>
    <w:rsid w:val="002D7633"/>
    <w:rsid w:val="002E2FDD"/>
    <w:rsid w:val="002E3243"/>
    <w:rsid w:val="002E6E28"/>
    <w:rsid w:val="002E7685"/>
    <w:rsid w:val="002E77D8"/>
    <w:rsid w:val="002F2440"/>
    <w:rsid w:val="002F5387"/>
    <w:rsid w:val="002F6379"/>
    <w:rsid w:val="0030043B"/>
    <w:rsid w:val="00302493"/>
    <w:rsid w:val="00304B5D"/>
    <w:rsid w:val="003061D9"/>
    <w:rsid w:val="00307223"/>
    <w:rsid w:val="0030791F"/>
    <w:rsid w:val="00323947"/>
    <w:rsid w:val="0032548F"/>
    <w:rsid w:val="00327B22"/>
    <w:rsid w:val="00331AC5"/>
    <w:rsid w:val="0033389E"/>
    <w:rsid w:val="003358C9"/>
    <w:rsid w:val="00335DF3"/>
    <w:rsid w:val="003376AF"/>
    <w:rsid w:val="003407BA"/>
    <w:rsid w:val="00340F34"/>
    <w:rsid w:val="00344FF8"/>
    <w:rsid w:val="00347EFA"/>
    <w:rsid w:val="003530FC"/>
    <w:rsid w:val="0035432C"/>
    <w:rsid w:val="0036352D"/>
    <w:rsid w:val="003712F8"/>
    <w:rsid w:val="003731E3"/>
    <w:rsid w:val="0037621A"/>
    <w:rsid w:val="003762F4"/>
    <w:rsid w:val="00383205"/>
    <w:rsid w:val="00390632"/>
    <w:rsid w:val="00394886"/>
    <w:rsid w:val="003952F6"/>
    <w:rsid w:val="0039720F"/>
    <w:rsid w:val="00397935"/>
    <w:rsid w:val="003A00BD"/>
    <w:rsid w:val="003A06DB"/>
    <w:rsid w:val="003A0DDA"/>
    <w:rsid w:val="003A5608"/>
    <w:rsid w:val="003A5B27"/>
    <w:rsid w:val="003B1592"/>
    <w:rsid w:val="003B2085"/>
    <w:rsid w:val="003B434C"/>
    <w:rsid w:val="003B76C3"/>
    <w:rsid w:val="003B7F5E"/>
    <w:rsid w:val="003C0C90"/>
    <w:rsid w:val="003C109C"/>
    <w:rsid w:val="003C21D7"/>
    <w:rsid w:val="003C3B62"/>
    <w:rsid w:val="003C4DC8"/>
    <w:rsid w:val="003C67C9"/>
    <w:rsid w:val="003D07F9"/>
    <w:rsid w:val="003D20ED"/>
    <w:rsid w:val="003D3A80"/>
    <w:rsid w:val="003E088C"/>
    <w:rsid w:val="003E1D9F"/>
    <w:rsid w:val="003E4404"/>
    <w:rsid w:val="003E5792"/>
    <w:rsid w:val="003E715E"/>
    <w:rsid w:val="003F20F0"/>
    <w:rsid w:val="003F2710"/>
    <w:rsid w:val="004038E8"/>
    <w:rsid w:val="00405693"/>
    <w:rsid w:val="004066B4"/>
    <w:rsid w:val="00411885"/>
    <w:rsid w:val="00413C34"/>
    <w:rsid w:val="00413F05"/>
    <w:rsid w:val="004163D0"/>
    <w:rsid w:val="00420091"/>
    <w:rsid w:val="00423370"/>
    <w:rsid w:val="00431C3C"/>
    <w:rsid w:val="00432BCB"/>
    <w:rsid w:val="004348C2"/>
    <w:rsid w:val="00435AC7"/>
    <w:rsid w:val="004373CE"/>
    <w:rsid w:val="00442320"/>
    <w:rsid w:val="00444F00"/>
    <w:rsid w:val="004453F4"/>
    <w:rsid w:val="00445728"/>
    <w:rsid w:val="00450631"/>
    <w:rsid w:val="004527FA"/>
    <w:rsid w:val="004529AF"/>
    <w:rsid w:val="00453699"/>
    <w:rsid w:val="00454909"/>
    <w:rsid w:val="00454F29"/>
    <w:rsid w:val="00457D09"/>
    <w:rsid w:val="00461067"/>
    <w:rsid w:val="004629A6"/>
    <w:rsid w:val="0046305E"/>
    <w:rsid w:val="00463CB3"/>
    <w:rsid w:val="004660EB"/>
    <w:rsid w:val="004703BA"/>
    <w:rsid w:val="004706D5"/>
    <w:rsid w:val="004735F3"/>
    <w:rsid w:val="00474F4A"/>
    <w:rsid w:val="004767FC"/>
    <w:rsid w:val="00476F3E"/>
    <w:rsid w:val="004773B6"/>
    <w:rsid w:val="00477823"/>
    <w:rsid w:val="004800E2"/>
    <w:rsid w:val="00481ED3"/>
    <w:rsid w:val="00484426"/>
    <w:rsid w:val="00485E8E"/>
    <w:rsid w:val="00495F5E"/>
    <w:rsid w:val="004A4CA6"/>
    <w:rsid w:val="004A71AE"/>
    <w:rsid w:val="004A7E9B"/>
    <w:rsid w:val="004B2294"/>
    <w:rsid w:val="004B3A28"/>
    <w:rsid w:val="004B7293"/>
    <w:rsid w:val="004C2F5E"/>
    <w:rsid w:val="004C5501"/>
    <w:rsid w:val="004C5A4A"/>
    <w:rsid w:val="004D7D60"/>
    <w:rsid w:val="004E3BFD"/>
    <w:rsid w:val="004E3E3E"/>
    <w:rsid w:val="004E5A6C"/>
    <w:rsid w:val="004E7051"/>
    <w:rsid w:val="004F0436"/>
    <w:rsid w:val="004F064D"/>
    <w:rsid w:val="004F2FEA"/>
    <w:rsid w:val="004F55B3"/>
    <w:rsid w:val="004F56DC"/>
    <w:rsid w:val="004F5881"/>
    <w:rsid w:val="004F70F4"/>
    <w:rsid w:val="0050020F"/>
    <w:rsid w:val="00500642"/>
    <w:rsid w:val="0050594C"/>
    <w:rsid w:val="0050608C"/>
    <w:rsid w:val="00510A56"/>
    <w:rsid w:val="0051131B"/>
    <w:rsid w:val="00514896"/>
    <w:rsid w:val="005239B4"/>
    <w:rsid w:val="00527D36"/>
    <w:rsid w:val="00533F86"/>
    <w:rsid w:val="0054208C"/>
    <w:rsid w:val="00543D8C"/>
    <w:rsid w:val="00546D55"/>
    <w:rsid w:val="005507C6"/>
    <w:rsid w:val="00551130"/>
    <w:rsid w:val="00551DB1"/>
    <w:rsid w:val="005528BD"/>
    <w:rsid w:val="005537EC"/>
    <w:rsid w:val="005600C2"/>
    <w:rsid w:val="005622E2"/>
    <w:rsid w:val="00562834"/>
    <w:rsid w:val="00563973"/>
    <w:rsid w:val="00563DA0"/>
    <w:rsid w:val="00565843"/>
    <w:rsid w:val="00565EB8"/>
    <w:rsid w:val="0057162C"/>
    <w:rsid w:val="00572367"/>
    <w:rsid w:val="00572489"/>
    <w:rsid w:val="005800C9"/>
    <w:rsid w:val="005811D3"/>
    <w:rsid w:val="00582183"/>
    <w:rsid w:val="00584207"/>
    <w:rsid w:val="00585521"/>
    <w:rsid w:val="00587466"/>
    <w:rsid w:val="00590F74"/>
    <w:rsid w:val="005937CF"/>
    <w:rsid w:val="00595DF3"/>
    <w:rsid w:val="005A6EB9"/>
    <w:rsid w:val="005B25B8"/>
    <w:rsid w:val="005B582E"/>
    <w:rsid w:val="005B6224"/>
    <w:rsid w:val="005B6FFB"/>
    <w:rsid w:val="005B7C3E"/>
    <w:rsid w:val="005C0C65"/>
    <w:rsid w:val="005C37AA"/>
    <w:rsid w:val="005D004F"/>
    <w:rsid w:val="005D0E43"/>
    <w:rsid w:val="005D30F3"/>
    <w:rsid w:val="005D4F8D"/>
    <w:rsid w:val="005E1E5C"/>
    <w:rsid w:val="005E4A1F"/>
    <w:rsid w:val="005E5B3C"/>
    <w:rsid w:val="005F1766"/>
    <w:rsid w:val="005F38DD"/>
    <w:rsid w:val="005F494A"/>
    <w:rsid w:val="00601549"/>
    <w:rsid w:val="00603727"/>
    <w:rsid w:val="00606DF8"/>
    <w:rsid w:val="00606E9A"/>
    <w:rsid w:val="00612B17"/>
    <w:rsid w:val="00612BEC"/>
    <w:rsid w:val="0061564D"/>
    <w:rsid w:val="006177AE"/>
    <w:rsid w:val="0062164A"/>
    <w:rsid w:val="006224AE"/>
    <w:rsid w:val="006273DD"/>
    <w:rsid w:val="0063050E"/>
    <w:rsid w:val="00632170"/>
    <w:rsid w:val="006405B1"/>
    <w:rsid w:val="00641DB9"/>
    <w:rsid w:val="00645DB0"/>
    <w:rsid w:val="00652DF5"/>
    <w:rsid w:val="006566E1"/>
    <w:rsid w:val="00657DA3"/>
    <w:rsid w:val="0066102B"/>
    <w:rsid w:val="00662FD1"/>
    <w:rsid w:val="00664756"/>
    <w:rsid w:val="00670BFE"/>
    <w:rsid w:val="00671324"/>
    <w:rsid w:val="00674855"/>
    <w:rsid w:val="00684F3C"/>
    <w:rsid w:val="006869C7"/>
    <w:rsid w:val="00686B06"/>
    <w:rsid w:val="00695902"/>
    <w:rsid w:val="006A1150"/>
    <w:rsid w:val="006A166E"/>
    <w:rsid w:val="006C645D"/>
    <w:rsid w:val="006D10F9"/>
    <w:rsid w:val="006D534D"/>
    <w:rsid w:val="006D6ABC"/>
    <w:rsid w:val="006D769E"/>
    <w:rsid w:val="006E4AF9"/>
    <w:rsid w:val="006E6155"/>
    <w:rsid w:val="006F15AA"/>
    <w:rsid w:val="006F3D73"/>
    <w:rsid w:val="006F5279"/>
    <w:rsid w:val="006F5655"/>
    <w:rsid w:val="006F77D0"/>
    <w:rsid w:val="00701149"/>
    <w:rsid w:val="00706910"/>
    <w:rsid w:val="0071457B"/>
    <w:rsid w:val="007241CC"/>
    <w:rsid w:val="0072767C"/>
    <w:rsid w:val="00731277"/>
    <w:rsid w:val="00731A98"/>
    <w:rsid w:val="007360F1"/>
    <w:rsid w:val="00736696"/>
    <w:rsid w:val="00736EA6"/>
    <w:rsid w:val="0073741D"/>
    <w:rsid w:val="00741B68"/>
    <w:rsid w:val="00742680"/>
    <w:rsid w:val="00746123"/>
    <w:rsid w:val="007511C2"/>
    <w:rsid w:val="007546BB"/>
    <w:rsid w:val="0076408C"/>
    <w:rsid w:val="00764801"/>
    <w:rsid w:val="00764F36"/>
    <w:rsid w:val="0077075F"/>
    <w:rsid w:val="0077467D"/>
    <w:rsid w:val="00774F32"/>
    <w:rsid w:val="00775BA1"/>
    <w:rsid w:val="007779CA"/>
    <w:rsid w:val="007812B5"/>
    <w:rsid w:val="00784DF2"/>
    <w:rsid w:val="007853F5"/>
    <w:rsid w:val="00793793"/>
    <w:rsid w:val="00793896"/>
    <w:rsid w:val="00795DAA"/>
    <w:rsid w:val="00797836"/>
    <w:rsid w:val="00797869"/>
    <w:rsid w:val="007A273A"/>
    <w:rsid w:val="007A4A4E"/>
    <w:rsid w:val="007A6875"/>
    <w:rsid w:val="007A6A4A"/>
    <w:rsid w:val="007B2462"/>
    <w:rsid w:val="007B6E16"/>
    <w:rsid w:val="007B7F8F"/>
    <w:rsid w:val="007C248A"/>
    <w:rsid w:val="007C3413"/>
    <w:rsid w:val="007D097C"/>
    <w:rsid w:val="007D29D0"/>
    <w:rsid w:val="007E08EA"/>
    <w:rsid w:val="007E0A9F"/>
    <w:rsid w:val="007E2C1C"/>
    <w:rsid w:val="007E54D9"/>
    <w:rsid w:val="007E66E6"/>
    <w:rsid w:val="007E6DB6"/>
    <w:rsid w:val="007F0C13"/>
    <w:rsid w:val="007F194F"/>
    <w:rsid w:val="007F2738"/>
    <w:rsid w:val="007F3B0F"/>
    <w:rsid w:val="007F3F32"/>
    <w:rsid w:val="007F436D"/>
    <w:rsid w:val="007F5BAB"/>
    <w:rsid w:val="007F67AA"/>
    <w:rsid w:val="008008F9"/>
    <w:rsid w:val="0080350E"/>
    <w:rsid w:val="008041DB"/>
    <w:rsid w:val="008133CE"/>
    <w:rsid w:val="0082054C"/>
    <w:rsid w:val="00820FD1"/>
    <w:rsid w:val="00822434"/>
    <w:rsid w:val="00822605"/>
    <w:rsid w:val="008263AE"/>
    <w:rsid w:val="008263C4"/>
    <w:rsid w:val="00830DD6"/>
    <w:rsid w:val="00832D7A"/>
    <w:rsid w:val="00834F07"/>
    <w:rsid w:val="008378D2"/>
    <w:rsid w:val="008406A5"/>
    <w:rsid w:val="00841151"/>
    <w:rsid w:val="00841863"/>
    <w:rsid w:val="0084232F"/>
    <w:rsid w:val="00842AA3"/>
    <w:rsid w:val="00842CA0"/>
    <w:rsid w:val="00843BD6"/>
    <w:rsid w:val="00846B71"/>
    <w:rsid w:val="00850331"/>
    <w:rsid w:val="008512D2"/>
    <w:rsid w:val="00856158"/>
    <w:rsid w:val="008569FF"/>
    <w:rsid w:val="00861AEF"/>
    <w:rsid w:val="00861D5C"/>
    <w:rsid w:val="0086640E"/>
    <w:rsid w:val="00867F29"/>
    <w:rsid w:val="00870D6A"/>
    <w:rsid w:val="00871134"/>
    <w:rsid w:val="0087368D"/>
    <w:rsid w:val="00873757"/>
    <w:rsid w:val="008749B4"/>
    <w:rsid w:val="0087545E"/>
    <w:rsid w:val="00875D07"/>
    <w:rsid w:val="0088479D"/>
    <w:rsid w:val="00885783"/>
    <w:rsid w:val="00885B68"/>
    <w:rsid w:val="00885BAC"/>
    <w:rsid w:val="0089104C"/>
    <w:rsid w:val="00893D3E"/>
    <w:rsid w:val="0089664A"/>
    <w:rsid w:val="00896DFE"/>
    <w:rsid w:val="00896ED5"/>
    <w:rsid w:val="008A021F"/>
    <w:rsid w:val="008A1B3B"/>
    <w:rsid w:val="008A5BD7"/>
    <w:rsid w:val="008A74FB"/>
    <w:rsid w:val="008B1DBA"/>
    <w:rsid w:val="008B4646"/>
    <w:rsid w:val="008C304A"/>
    <w:rsid w:val="008C58CD"/>
    <w:rsid w:val="008C660E"/>
    <w:rsid w:val="008C6A55"/>
    <w:rsid w:val="008C6E20"/>
    <w:rsid w:val="008C739B"/>
    <w:rsid w:val="008C74BA"/>
    <w:rsid w:val="008D5346"/>
    <w:rsid w:val="008E10A9"/>
    <w:rsid w:val="008E41E8"/>
    <w:rsid w:val="008E6E7B"/>
    <w:rsid w:val="008E71F2"/>
    <w:rsid w:val="008F0925"/>
    <w:rsid w:val="008F24AE"/>
    <w:rsid w:val="008F7CE2"/>
    <w:rsid w:val="009019F5"/>
    <w:rsid w:val="009062BE"/>
    <w:rsid w:val="0091180E"/>
    <w:rsid w:val="00912EC3"/>
    <w:rsid w:val="00917D8C"/>
    <w:rsid w:val="00921972"/>
    <w:rsid w:val="009225B7"/>
    <w:rsid w:val="00922A48"/>
    <w:rsid w:val="00924BD8"/>
    <w:rsid w:val="00924F1F"/>
    <w:rsid w:val="00925799"/>
    <w:rsid w:val="00930127"/>
    <w:rsid w:val="00930BE0"/>
    <w:rsid w:val="00931AE5"/>
    <w:rsid w:val="00931E1E"/>
    <w:rsid w:val="009364B7"/>
    <w:rsid w:val="009377DC"/>
    <w:rsid w:val="00941A95"/>
    <w:rsid w:val="00942186"/>
    <w:rsid w:val="009473E0"/>
    <w:rsid w:val="0094788D"/>
    <w:rsid w:val="00952618"/>
    <w:rsid w:val="00952A92"/>
    <w:rsid w:val="00962E7E"/>
    <w:rsid w:val="00963DFC"/>
    <w:rsid w:val="00971CCB"/>
    <w:rsid w:val="0097310D"/>
    <w:rsid w:val="00975B80"/>
    <w:rsid w:val="00983468"/>
    <w:rsid w:val="00983746"/>
    <w:rsid w:val="00984CBA"/>
    <w:rsid w:val="009925FC"/>
    <w:rsid w:val="00996476"/>
    <w:rsid w:val="0099788B"/>
    <w:rsid w:val="009A1820"/>
    <w:rsid w:val="009A1889"/>
    <w:rsid w:val="009A450D"/>
    <w:rsid w:val="009A499D"/>
    <w:rsid w:val="009B20FD"/>
    <w:rsid w:val="009B275D"/>
    <w:rsid w:val="009B4B83"/>
    <w:rsid w:val="009C1CE1"/>
    <w:rsid w:val="009C3902"/>
    <w:rsid w:val="009C59B8"/>
    <w:rsid w:val="009C5BE2"/>
    <w:rsid w:val="009D0BED"/>
    <w:rsid w:val="009D260C"/>
    <w:rsid w:val="009D3001"/>
    <w:rsid w:val="009D380B"/>
    <w:rsid w:val="009D67D0"/>
    <w:rsid w:val="009D6A4F"/>
    <w:rsid w:val="009E0345"/>
    <w:rsid w:val="009E2C1B"/>
    <w:rsid w:val="009F0949"/>
    <w:rsid w:val="009F56A3"/>
    <w:rsid w:val="009F79BA"/>
    <w:rsid w:val="009F79DB"/>
    <w:rsid w:val="00A00C4A"/>
    <w:rsid w:val="00A02E71"/>
    <w:rsid w:val="00A04FAC"/>
    <w:rsid w:val="00A05B1C"/>
    <w:rsid w:val="00A079F9"/>
    <w:rsid w:val="00A10AA2"/>
    <w:rsid w:val="00A147F5"/>
    <w:rsid w:val="00A15775"/>
    <w:rsid w:val="00A16719"/>
    <w:rsid w:val="00A22394"/>
    <w:rsid w:val="00A225F6"/>
    <w:rsid w:val="00A24E6A"/>
    <w:rsid w:val="00A26572"/>
    <w:rsid w:val="00A33131"/>
    <w:rsid w:val="00A37A24"/>
    <w:rsid w:val="00A41857"/>
    <w:rsid w:val="00A4588A"/>
    <w:rsid w:val="00A47A73"/>
    <w:rsid w:val="00A501BF"/>
    <w:rsid w:val="00A507FB"/>
    <w:rsid w:val="00A5084D"/>
    <w:rsid w:val="00A5190B"/>
    <w:rsid w:val="00A52A4A"/>
    <w:rsid w:val="00A65488"/>
    <w:rsid w:val="00A65B27"/>
    <w:rsid w:val="00A7027F"/>
    <w:rsid w:val="00A70F57"/>
    <w:rsid w:val="00A73E1C"/>
    <w:rsid w:val="00A750C3"/>
    <w:rsid w:val="00A83640"/>
    <w:rsid w:val="00A84915"/>
    <w:rsid w:val="00A87741"/>
    <w:rsid w:val="00A92ED4"/>
    <w:rsid w:val="00A954AD"/>
    <w:rsid w:val="00A97341"/>
    <w:rsid w:val="00AA2A34"/>
    <w:rsid w:val="00AA2F35"/>
    <w:rsid w:val="00AA4660"/>
    <w:rsid w:val="00AA547F"/>
    <w:rsid w:val="00AA7AF6"/>
    <w:rsid w:val="00AA7F1C"/>
    <w:rsid w:val="00AB3776"/>
    <w:rsid w:val="00AB53AF"/>
    <w:rsid w:val="00AC65D6"/>
    <w:rsid w:val="00AC747B"/>
    <w:rsid w:val="00AC7CE6"/>
    <w:rsid w:val="00AD1B87"/>
    <w:rsid w:val="00AD4C4D"/>
    <w:rsid w:val="00AD6DE7"/>
    <w:rsid w:val="00AD76B2"/>
    <w:rsid w:val="00AE05EE"/>
    <w:rsid w:val="00AE7D84"/>
    <w:rsid w:val="00AF2C18"/>
    <w:rsid w:val="00AF2CD1"/>
    <w:rsid w:val="00AF3B90"/>
    <w:rsid w:val="00AF3D91"/>
    <w:rsid w:val="00AF5182"/>
    <w:rsid w:val="00B01F8C"/>
    <w:rsid w:val="00B108BC"/>
    <w:rsid w:val="00B120B0"/>
    <w:rsid w:val="00B12D0B"/>
    <w:rsid w:val="00B2595B"/>
    <w:rsid w:val="00B264D9"/>
    <w:rsid w:val="00B32529"/>
    <w:rsid w:val="00B32ECB"/>
    <w:rsid w:val="00B34A71"/>
    <w:rsid w:val="00B34DA2"/>
    <w:rsid w:val="00B37250"/>
    <w:rsid w:val="00B435E7"/>
    <w:rsid w:val="00B45606"/>
    <w:rsid w:val="00B53464"/>
    <w:rsid w:val="00B5739F"/>
    <w:rsid w:val="00B67975"/>
    <w:rsid w:val="00B71D6E"/>
    <w:rsid w:val="00B74476"/>
    <w:rsid w:val="00B75879"/>
    <w:rsid w:val="00B76CAA"/>
    <w:rsid w:val="00B77789"/>
    <w:rsid w:val="00B778FF"/>
    <w:rsid w:val="00B77C9A"/>
    <w:rsid w:val="00B83B63"/>
    <w:rsid w:val="00B852E1"/>
    <w:rsid w:val="00B869A9"/>
    <w:rsid w:val="00B904D3"/>
    <w:rsid w:val="00B9064F"/>
    <w:rsid w:val="00B91D95"/>
    <w:rsid w:val="00B91E02"/>
    <w:rsid w:val="00B948DA"/>
    <w:rsid w:val="00BA2304"/>
    <w:rsid w:val="00BA2931"/>
    <w:rsid w:val="00BA5470"/>
    <w:rsid w:val="00BB4967"/>
    <w:rsid w:val="00BB4A46"/>
    <w:rsid w:val="00BB6C8E"/>
    <w:rsid w:val="00BB6F56"/>
    <w:rsid w:val="00BB7337"/>
    <w:rsid w:val="00BC2B7B"/>
    <w:rsid w:val="00BC333A"/>
    <w:rsid w:val="00BC3A63"/>
    <w:rsid w:val="00BD3FD0"/>
    <w:rsid w:val="00BE09CC"/>
    <w:rsid w:val="00BE25F1"/>
    <w:rsid w:val="00BE27E9"/>
    <w:rsid w:val="00BE3D21"/>
    <w:rsid w:val="00BE3DD1"/>
    <w:rsid w:val="00BF0714"/>
    <w:rsid w:val="00BF3284"/>
    <w:rsid w:val="00C06141"/>
    <w:rsid w:val="00C1122C"/>
    <w:rsid w:val="00C1422D"/>
    <w:rsid w:val="00C20D39"/>
    <w:rsid w:val="00C21C02"/>
    <w:rsid w:val="00C24941"/>
    <w:rsid w:val="00C25C00"/>
    <w:rsid w:val="00C26849"/>
    <w:rsid w:val="00C26C44"/>
    <w:rsid w:val="00C275B3"/>
    <w:rsid w:val="00C34E08"/>
    <w:rsid w:val="00C416A1"/>
    <w:rsid w:val="00C4342F"/>
    <w:rsid w:val="00C44A73"/>
    <w:rsid w:val="00C46D94"/>
    <w:rsid w:val="00C51B1C"/>
    <w:rsid w:val="00C52FC7"/>
    <w:rsid w:val="00C53912"/>
    <w:rsid w:val="00C5674A"/>
    <w:rsid w:val="00C56CFE"/>
    <w:rsid w:val="00C612EA"/>
    <w:rsid w:val="00C61338"/>
    <w:rsid w:val="00C6306A"/>
    <w:rsid w:val="00C65746"/>
    <w:rsid w:val="00C6690A"/>
    <w:rsid w:val="00C66EC9"/>
    <w:rsid w:val="00C670C4"/>
    <w:rsid w:val="00C706D3"/>
    <w:rsid w:val="00C71B58"/>
    <w:rsid w:val="00C72161"/>
    <w:rsid w:val="00C736DF"/>
    <w:rsid w:val="00C77550"/>
    <w:rsid w:val="00C80D2A"/>
    <w:rsid w:val="00C828E4"/>
    <w:rsid w:val="00C83E11"/>
    <w:rsid w:val="00C85C5A"/>
    <w:rsid w:val="00C87A3B"/>
    <w:rsid w:val="00C9258B"/>
    <w:rsid w:val="00CA4BC6"/>
    <w:rsid w:val="00CA5300"/>
    <w:rsid w:val="00CB1B36"/>
    <w:rsid w:val="00CB31AB"/>
    <w:rsid w:val="00CB37AF"/>
    <w:rsid w:val="00CB552A"/>
    <w:rsid w:val="00CB728B"/>
    <w:rsid w:val="00CB78B0"/>
    <w:rsid w:val="00CC15D6"/>
    <w:rsid w:val="00CC41A8"/>
    <w:rsid w:val="00CC5C69"/>
    <w:rsid w:val="00CD16FE"/>
    <w:rsid w:val="00CD340B"/>
    <w:rsid w:val="00CD3EEE"/>
    <w:rsid w:val="00CD5071"/>
    <w:rsid w:val="00CD5079"/>
    <w:rsid w:val="00CD6A02"/>
    <w:rsid w:val="00CE3746"/>
    <w:rsid w:val="00CE4F4F"/>
    <w:rsid w:val="00CE74A5"/>
    <w:rsid w:val="00CF1861"/>
    <w:rsid w:val="00CF42B7"/>
    <w:rsid w:val="00CF4D72"/>
    <w:rsid w:val="00CF58DB"/>
    <w:rsid w:val="00CF790E"/>
    <w:rsid w:val="00D0177D"/>
    <w:rsid w:val="00D03744"/>
    <w:rsid w:val="00D06E22"/>
    <w:rsid w:val="00D07755"/>
    <w:rsid w:val="00D14643"/>
    <w:rsid w:val="00D152A5"/>
    <w:rsid w:val="00D20BCB"/>
    <w:rsid w:val="00D2401F"/>
    <w:rsid w:val="00D25D78"/>
    <w:rsid w:val="00D26295"/>
    <w:rsid w:val="00D26EBA"/>
    <w:rsid w:val="00D31916"/>
    <w:rsid w:val="00D3262A"/>
    <w:rsid w:val="00D35ABB"/>
    <w:rsid w:val="00D43BD9"/>
    <w:rsid w:val="00D45CE6"/>
    <w:rsid w:val="00D52B9D"/>
    <w:rsid w:val="00D539E3"/>
    <w:rsid w:val="00D572E7"/>
    <w:rsid w:val="00D579D0"/>
    <w:rsid w:val="00D61526"/>
    <w:rsid w:val="00D62D3F"/>
    <w:rsid w:val="00D65FDE"/>
    <w:rsid w:val="00D663C9"/>
    <w:rsid w:val="00D67056"/>
    <w:rsid w:val="00D70C8F"/>
    <w:rsid w:val="00D71E26"/>
    <w:rsid w:val="00D7271A"/>
    <w:rsid w:val="00D73367"/>
    <w:rsid w:val="00D74ABF"/>
    <w:rsid w:val="00D7552F"/>
    <w:rsid w:val="00D80814"/>
    <w:rsid w:val="00D80C9F"/>
    <w:rsid w:val="00D81648"/>
    <w:rsid w:val="00D83BA2"/>
    <w:rsid w:val="00D83CE3"/>
    <w:rsid w:val="00D84A9D"/>
    <w:rsid w:val="00D8694F"/>
    <w:rsid w:val="00D9419A"/>
    <w:rsid w:val="00DA035D"/>
    <w:rsid w:val="00DA07A8"/>
    <w:rsid w:val="00DA2BCF"/>
    <w:rsid w:val="00DA69CC"/>
    <w:rsid w:val="00DA77A1"/>
    <w:rsid w:val="00DB206F"/>
    <w:rsid w:val="00DB49E1"/>
    <w:rsid w:val="00DB4E0C"/>
    <w:rsid w:val="00DB622C"/>
    <w:rsid w:val="00DC1AC8"/>
    <w:rsid w:val="00DC1AFA"/>
    <w:rsid w:val="00DC23C8"/>
    <w:rsid w:val="00DC292C"/>
    <w:rsid w:val="00DC7042"/>
    <w:rsid w:val="00DC785C"/>
    <w:rsid w:val="00DD339A"/>
    <w:rsid w:val="00DD391A"/>
    <w:rsid w:val="00DD663A"/>
    <w:rsid w:val="00DD78E3"/>
    <w:rsid w:val="00DD7A76"/>
    <w:rsid w:val="00DE63D3"/>
    <w:rsid w:val="00DF0BF7"/>
    <w:rsid w:val="00DF4318"/>
    <w:rsid w:val="00E00335"/>
    <w:rsid w:val="00E00353"/>
    <w:rsid w:val="00E00A9B"/>
    <w:rsid w:val="00E01124"/>
    <w:rsid w:val="00E121D8"/>
    <w:rsid w:val="00E12A3F"/>
    <w:rsid w:val="00E15520"/>
    <w:rsid w:val="00E164FF"/>
    <w:rsid w:val="00E17881"/>
    <w:rsid w:val="00E31870"/>
    <w:rsid w:val="00E31896"/>
    <w:rsid w:val="00E356EF"/>
    <w:rsid w:val="00E462D9"/>
    <w:rsid w:val="00E4685D"/>
    <w:rsid w:val="00E46949"/>
    <w:rsid w:val="00E469F1"/>
    <w:rsid w:val="00E50240"/>
    <w:rsid w:val="00E552F3"/>
    <w:rsid w:val="00E56A6D"/>
    <w:rsid w:val="00E60BDD"/>
    <w:rsid w:val="00E6264F"/>
    <w:rsid w:val="00E6289A"/>
    <w:rsid w:val="00E63D77"/>
    <w:rsid w:val="00E644E3"/>
    <w:rsid w:val="00E6650B"/>
    <w:rsid w:val="00E66CFF"/>
    <w:rsid w:val="00E724E5"/>
    <w:rsid w:val="00E73BCF"/>
    <w:rsid w:val="00E7456A"/>
    <w:rsid w:val="00E76C18"/>
    <w:rsid w:val="00E773A4"/>
    <w:rsid w:val="00E77919"/>
    <w:rsid w:val="00E81874"/>
    <w:rsid w:val="00E81977"/>
    <w:rsid w:val="00E83C68"/>
    <w:rsid w:val="00E864E3"/>
    <w:rsid w:val="00E9400C"/>
    <w:rsid w:val="00EA3B6B"/>
    <w:rsid w:val="00EA638A"/>
    <w:rsid w:val="00EB1A6E"/>
    <w:rsid w:val="00EB1BEC"/>
    <w:rsid w:val="00EB59E4"/>
    <w:rsid w:val="00EB5F5B"/>
    <w:rsid w:val="00EC0FC2"/>
    <w:rsid w:val="00EC1DD6"/>
    <w:rsid w:val="00EC2270"/>
    <w:rsid w:val="00EC26E9"/>
    <w:rsid w:val="00EC38AC"/>
    <w:rsid w:val="00EC4B7E"/>
    <w:rsid w:val="00ED09EC"/>
    <w:rsid w:val="00ED2DAC"/>
    <w:rsid w:val="00ED537B"/>
    <w:rsid w:val="00ED68A2"/>
    <w:rsid w:val="00EE025C"/>
    <w:rsid w:val="00EE0B1C"/>
    <w:rsid w:val="00EE0CD8"/>
    <w:rsid w:val="00EE381B"/>
    <w:rsid w:val="00EE4B95"/>
    <w:rsid w:val="00EF0312"/>
    <w:rsid w:val="00EF247C"/>
    <w:rsid w:val="00EF3496"/>
    <w:rsid w:val="00EF5A61"/>
    <w:rsid w:val="00EF7EDC"/>
    <w:rsid w:val="00F006F9"/>
    <w:rsid w:val="00F010AC"/>
    <w:rsid w:val="00F01638"/>
    <w:rsid w:val="00F01C22"/>
    <w:rsid w:val="00F0469F"/>
    <w:rsid w:val="00F04BF2"/>
    <w:rsid w:val="00F059F6"/>
    <w:rsid w:val="00F1110A"/>
    <w:rsid w:val="00F12777"/>
    <w:rsid w:val="00F13041"/>
    <w:rsid w:val="00F130C2"/>
    <w:rsid w:val="00F1579F"/>
    <w:rsid w:val="00F21416"/>
    <w:rsid w:val="00F2144F"/>
    <w:rsid w:val="00F230A5"/>
    <w:rsid w:val="00F23325"/>
    <w:rsid w:val="00F233D2"/>
    <w:rsid w:val="00F25A7D"/>
    <w:rsid w:val="00F25DD6"/>
    <w:rsid w:val="00F2760E"/>
    <w:rsid w:val="00F2788F"/>
    <w:rsid w:val="00F33066"/>
    <w:rsid w:val="00F34B58"/>
    <w:rsid w:val="00F3512E"/>
    <w:rsid w:val="00F35D3F"/>
    <w:rsid w:val="00F36906"/>
    <w:rsid w:val="00F40017"/>
    <w:rsid w:val="00F431F4"/>
    <w:rsid w:val="00F45217"/>
    <w:rsid w:val="00F46894"/>
    <w:rsid w:val="00F5567E"/>
    <w:rsid w:val="00F60403"/>
    <w:rsid w:val="00F60A08"/>
    <w:rsid w:val="00F61CB7"/>
    <w:rsid w:val="00F61F6D"/>
    <w:rsid w:val="00F62487"/>
    <w:rsid w:val="00F64CCF"/>
    <w:rsid w:val="00F76C03"/>
    <w:rsid w:val="00F81DF7"/>
    <w:rsid w:val="00F850A1"/>
    <w:rsid w:val="00F919E9"/>
    <w:rsid w:val="00F9498D"/>
    <w:rsid w:val="00F95C85"/>
    <w:rsid w:val="00F96DAB"/>
    <w:rsid w:val="00F96E00"/>
    <w:rsid w:val="00F97184"/>
    <w:rsid w:val="00F975D0"/>
    <w:rsid w:val="00FA0D1F"/>
    <w:rsid w:val="00FA158B"/>
    <w:rsid w:val="00FA5EBE"/>
    <w:rsid w:val="00FA6999"/>
    <w:rsid w:val="00FA6F0F"/>
    <w:rsid w:val="00FB028B"/>
    <w:rsid w:val="00FB154B"/>
    <w:rsid w:val="00FB2827"/>
    <w:rsid w:val="00FB472B"/>
    <w:rsid w:val="00FB4CCD"/>
    <w:rsid w:val="00FB5538"/>
    <w:rsid w:val="00FC72C4"/>
    <w:rsid w:val="00FD41B2"/>
    <w:rsid w:val="00FD4B3C"/>
    <w:rsid w:val="00FE0C20"/>
    <w:rsid w:val="00FE2B17"/>
    <w:rsid w:val="00FE4368"/>
    <w:rsid w:val="00FE5BAD"/>
    <w:rsid w:val="00FE5F49"/>
    <w:rsid w:val="00FF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C88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0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0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0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0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0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0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0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0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0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0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0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0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0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0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0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0F1"/>
    <w:rPr>
      <w:rFonts w:eastAsiaTheme="majorEastAsia" w:cstheme="majorBidi"/>
      <w:color w:val="272727" w:themeColor="text1" w:themeTint="D8"/>
    </w:rPr>
  </w:style>
  <w:style w:type="paragraph" w:styleId="Title">
    <w:name w:val="Title"/>
    <w:basedOn w:val="Normal"/>
    <w:next w:val="Normal"/>
    <w:link w:val="TitleChar"/>
    <w:uiPriority w:val="10"/>
    <w:qFormat/>
    <w:rsid w:val="00736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0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0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0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0F1"/>
    <w:pPr>
      <w:spacing w:before="160"/>
      <w:jc w:val="center"/>
    </w:pPr>
    <w:rPr>
      <w:i/>
      <w:iCs/>
      <w:color w:val="404040" w:themeColor="text1" w:themeTint="BF"/>
    </w:rPr>
  </w:style>
  <w:style w:type="character" w:customStyle="1" w:styleId="QuoteChar">
    <w:name w:val="Quote Char"/>
    <w:basedOn w:val="DefaultParagraphFont"/>
    <w:link w:val="Quote"/>
    <w:uiPriority w:val="29"/>
    <w:rsid w:val="007360F1"/>
    <w:rPr>
      <w:i/>
      <w:iCs/>
      <w:color w:val="404040" w:themeColor="text1" w:themeTint="BF"/>
    </w:rPr>
  </w:style>
  <w:style w:type="paragraph" w:styleId="ListParagraph">
    <w:name w:val="List Paragraph"/>
    <w:basedOn w:val="Normal"/>
    <w:uiPriority w:val="34"/>
    <w:qFormat/>
    <w:rsid w:val="007360F1"/>
    <w:pPr>
      <w:ind w:left="720"/>
      <w:contextualSpacing/>
    </w:pPr>
  </w:style>
  <w:style w:type="character" w:styleId="IntenseEmphasis">
    <w:name w:val="Intense Emphasis"/>
    <w:basedOn w:val="DefaultParagraphFont"/>
    <w:uiPriority w:val="21"/>
    <w:qFormat/>
    <w:rsid w:val="007360F1"/>
    <w:rPr>
      <w:i/>
      <w:iCs/>
      <w:color w:val="0F4761" w:themeColor="accent1" w:themeShade="BF"/>
    </w:rPr>
  </w:style>
  <w:style w:type="paragraph" w:styleId="IntenseQuote">
    <w:name w:val="Intense Quote"/>
    <w:basedOn w:val="Normal"/>
    <w:next w:val="Normal"/>
    <w:link w:val="IntenseQuoteChar"/>
    <w:uiPriority w:val="30"/>
    <w:qFormat/>
    <w:rsid w:val="00736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0F1"/>
    <w:rPr>
      <w:i/>
      <w:iCs/>
      <w:color w:val="0F4761" w:themeColor="accent1" w:themeShade="BF"/>
    </w:rPr>
  </w:style>
  <w:style w:type="character" w:styleId="IntenseReference">
    <w:name w:val="Intense Reference"/>
    <w:basedOn w:val="DefaultParagraphFont"/>
    <w:uiPriority w:val="32"/>
    <w:qFormat/>
    <w:rsid w:val="007360F1"/>
    <w:rPr>
      <w:b/>
      <w:bCs/>
      <w:smallCaps/>
      <w:color w:val="0F4761" w:themeColor="accent1" w:themeShade="BF"/>
      <w:spacing w:val="5"/>
    </w:rPr>
  </w:style>
  <w:style w:type="table" w:styleId="TableGrid">
    <w:name w:val="Table Grid"/>
    <w:basedOn w:val="TableNormal"/>
    <w:uiPriority w:val="39"/>
    <w:rsid w:val="00035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31C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1339</Words>
  <Characters>7999</Characters>
  <Application>Microsoft Office Word</Application>
  <DocSecurity>0</DocSecurity>
  <Lines>123</Lines>
  <Paragraphs>27</Paragraphs>
  <ScaleCrop>false</ScaleCrop>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2025-09-24T20:25:00Z</dcterms:created>
  <dcterms:modified xsi:type="dcterms:W3CDTF">2025-09-24T20:26:00Z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2025-09-19T21:39:57Z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858854aa-68ff-4789-b356-77d00abb3c35</vt:lpwstr>
  </property>
  <property fmtid="{D5CDD505-2E9C-101B-9397-08002B2CF9AE}" pid="8" name="MSIP_Label_792c8cef-6f2b-4af1-b4ac-d815ff795cd6_ContentBits">
    <vt:lpwstr>0</vt:lpwstr>
  </property>
  <property fmtid="{D5CDD505-2E9C-101B-9397-08002B2CF9AE}" pid="9" name="MSIP_Label_792c8cef-6f2b-4af1-b4ac-d815ff795cd6_Tag">
    <vt:lpwstr>50, 3, 0, 1</vt:lpwstr>
  </property>
</Properties>
</file>